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bookmarkStart w:id="0" w:name="_GoBack"/>
      <w:bookmarkEnd w:id="0"/>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6B4E96"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6B70CF">
        <w:rPr>
          <w:rFonts w:asciiTheme="majorHAnsi" w:hAnsiTheme="majorHAnsi" w:cs="Times New Roman"/>
          <w:color w:val="000000"/>
          <w:sz w:val="24"/>
          <w:szCs w:val="24"/>
          <w:lang w:val="it-IT"/>
        </w:rPr>
        <w:t>6</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595118">
        <w:rPr>
          <w:rFonts w:asciiTheme="majorHAnsi" w:hAnsiTheme="majorHAnsi" w:cs="Times New Roman"/>
          <w:color w:val="000000"/>
          <w:sz w:val="24"/>
          <w:szCs w:val="24"/>
          <w:lang w:val="it-IT"/>
        </w:rPr>
        <w:t>249/1-18</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6B70CF">
        <w:rPr>
          <w:rFonts w:asciiTheme="majorHAnsi" w:hAnsiTheme="majorHAnsi" w:cs="Times New Roman"/>
          <w:color w:val="000000"/>
          <w:sz w:val="24"/>
          <w:szCs w:val="24"/>
          <w:lang w:val="it-IT"/>
        </w:rPr>
        <w:t>4</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 xml:space="preserve">Podgorica, </w:t>
      </w:r>
      <w:r w:rsidR="00A43B6A">
        <w:rPr>
          <w:rFonts w:asciiTheme="majorHAnsi" w:hAnsiTheme="majorHAnsi" w:cs="Times New Roman"/>
          <w:color w:val="000000"/>
          <w:sz w:val="24"/>
          <w:szCs w:val="24"/>
          <w:lang w:val="it-IT"/>
        </w:rPr>
        <w:t xml:space="preserve"> </w:t>
      </w:r>
      <w:r w:rsidR="006B70CF">
        <w:rPr>
          <w:rFonts w:asciiTheme="majorHAnsi" w:hAnsiTheme="majorHAnsi" w:cs="Times New Roman"/>
          <w:color w:val="000000"/>
          <w:sz w:val="24"/>
          <w:szCs w:val="24"/>
          <w:lang w:val="it-IT"/>
        </w:rPr>
        <w:t>28</w:t>
      </w:r>
      <w:r w:rsidR="00A43B6A">
        <w:rPr>
          <w:rFonts w:asciiTheme="majorHAnsi" w:hAnsiTheme="majorHAnsi" w:cs="Times New Roman"/>
          <w:color w:val="000000"/>
          <w:sz w:val="24"/>
          <w:szCs w:val="24"/>
          <w:lang w:val="it-IT"/>
        </w:rPr>
        <w:t>. 03</w:t>
      </w:r>
      <w:r w:rsidR="00385C7F">
        <w:rPr>
          <w:rFonts w:asciiTheme="majorHAnsi" w:hAnsiTheme="majorHAnsi" w:cs="Times New Roman"/>
          <w:color w:val="000000"/>
          <w:sz w:val="24"/>
          <w:szCs w:val="24"/>
          <w:lang w:val="it-IT"/>
        </w:rPr>
        <w:t>. 2018.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C751A7">
        <w:rPr>
          <w:rFonts w:asciiTheme="majorHAnsi" w:hAnsiTheme="majorHAnsi" w:cs="Times New Roman"/>
          <w:color w:val="000000"/>
          <w:sz w:val="24"/>
          <w:szCs w:val="24"/>
          <w:u w:val="single"/>
          <w:lang w:val="pl-PL"/>
        </w:rPr>
        <w:t xml:space="preserve">Agencija za </w:t>
      </w:r>
      <w:r w:rsidR="00385C7F">
        <w:rPr>
          <w:rFonts w:asciiTheme="majorHAnsi" w:hAnsiTheme="majorHAnsi" w:cs="Times New Roman"/>
          <w:color w:val="000000"/>
          <w:sz w:val="24"/>
          <w:szCs w:val="24"/>
          <w:u w:val="single"/>
          <w:lang w:val="pl-PL"/>
        </w:rPr>
        <w:t>n</w:t>
      </w:r>
      <w:r w:rsidR="00C751A7">
        <w:rPr>
          <w:rFonts w:asciiTheme="majorHAnsi" w:hAnsiTheme="majorHAnsi" w:cs="Times New Roman"/>
          <w:color w:val="000000"/>
          <w:sz w:val="24"/>
          <w:szCs w:val="24"/>
          <w:u w:val="single"/>
          <w:lang w:val="pl-PL"/>
        </w:rPr>
        <w:t>a</w:t>
      </w:r>
      <w:r w:rsidR="00385C7F">
        <w:rPr>
          <w:rFonts w:asciiTheme="majorHAnsi" w:hAnsiTheme="majorHAnsi" w:cs="Times New Roman"/>
          <w:color w:val="000000"/>
          <w:sz w:val="24"/>
          <w:szCs w:val="24"/>
          <w:u w:val="single"/>
          <w:lang w:val="pl-PL"/>
        </w:rPr>
        <w:t xml:space="preserve">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r w:rsidRPr="006B70CF">
        <w:rPr>
          <w:rFonts w:asciiTheme="majorHAnsi" w:hAnsiTheme="majorHAnsi" w:cs="Times New Roman"/>
          <w:b/>
          <w:bCs/>
          <w:color w:val="000000"/>
          <w:sz w:val="28"/>
          <w:szCs w:val="28"/>
          <w:lang w:val="it-IT"/>
        </w:rPr>
        <w:t>TENDERSKU DOKUMENTACIJU</w:t>
      </w: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r w:rsidRPr="006B70CF">
        <w:rPr>
          <w:rFonts w:asciiTheme="majorHAnsi" w:hAnsiTheme="majorHAnsi" w:cs="Times New Roman"/>
          <w:b/>
          <w:bCs/>
          <w:color w:val="000000"/>
          <w:sz w:val="28"/>
          <w:szCs w:val="28"/>
          <w:lang w:val="it-IT"/>
        </w:rPr>
        <w:t xml:space="preserve">ZA OTVORENI POSTUPAK JAVNE NABAVKE </w:t>
      </w:r>
      <w:r w:rsidR="00385C7F" w:rsidRPr="006B70CF">
        <w:rPr>
          <w:rFonts w:asciiTheme="majorHAnsi" w:hAnsiTheme="majorHAnsi" w:cs="Times New Roman"/>
          <w:b/>
          <w:bCs/>
          <w:color w:val="000000"/>
          <w:sz w:val="28"/>
          <w:szCs w:val="28"/>
          <w:lang w:val="it-IT"/>
        </w:rPr>
        <w:t>ZA NABAVKU</w:t>
      </w: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p>
    <w:p w:rsidR="00546BA2" w:rsidRPr="006B70CF" w:rsidRDefault="00546BA2" w:rsidP="00794548">
      <w:pPr>
        <w:spacing w:after="0" w:line="240" w:lineRule="auto"/>
        <w:jc w:val="center"/>
        <w:rPr>
          <w:rFonts w:asciiTheme="majorHAnsi" w:hAnsiTheme="majorHAnsi" w:cs="Times New Roman"/>
          <w:b/>
          <w:color w:val="000000"/>
          <w:sz w:val="28"/>
          <w:szCs w:val="28"/>
          <w:lang w:val="it-IT"/>
        </w:rPr>
      </w:pPr>
    </w:p>
    <w:p w:rsidR="00794548" w:rsidRPr="006B70CF" w:rsidRDefault="00A43B6A" w:rsidP="00A43B6A">
      <w:pPr>
        <w:pStyle w:val="Heading1"/>
        <w:rPr>
          <w:rFonts w:asciiTheme="majorHAnsi" w:hAnsiTheme="majorHAnsi"/>
          <w:i w:val="0"/>
          <w:color w:val="000000"/>
          <w:lang w:val="it-IT"/>
        </w:rPr>
      </w:pPr>
      <w:r w:rsidRPr="006B70CF">
        <w:rPr>
          <w:rFonts w:asciiTheme="majorHAnsi" w:hAnsiTheme="majorHAnsi"/>
          <w:i w:val="0"/>
          <w:color w:val="000000"/>
          <w:lang w:val="it-IT"/>
        </w:rPr>
        <w:t>GORIVA</w:t>
      </w: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303225"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303225"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8A26A3">
          <w:rPr>
            <w:noProof/>
            <w:webHidden/>
          </w:rPr>
          <w:t>8</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8A26A3">
          <w:rPr>
            <w:noProof/>
            <w:webHidden/>
          </w:rPr>
          <w:t>9</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8A26A3">
          <w:rPr>
            <w:noProof/>
            <w:webHidden/>
          </w:rPr>
          <w:t>10</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8A26A3">
          <w:rPr>
            <w:noProof/>
            <w:webHidden/>
          </w:rPr>
          <w:t>11</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8A26A3">
          <w:rPr>
            <w:noProof/>
            <w:webHidden/>
          </w:rPr>
          <w:t>12</w:t>
        </w:r>
        <w:r w:rsidR="00E963C7">
          <w:rPr>
            <w:noProof/>
            <w:webHidden/>
          </w:rPr>
          <w:fldChar w:fldCharType="end"/>
        </w:r>
      </w:hyperlink>
    </w:p>
    <w:p w:rsidR="00E963C7" w:rsidRDefault="00303225"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8A26A3">
          <w:rPr>
            <w:noProof/>
            <w:webHidden/>
          </w:rPr>
          <w:t>13</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8A26A3">
          <w:rPr>
            <w:noProof/>
            <w:webHidden/>
          </w:rPr>
          <w:t>14</w:t>
        </w:r>
        <w:r w:rsidR="00E963C7">
          <w:rPr>
            <w:noProof/>
            <w:webHidden/>
          </w:rPr>
          <w:fldChar w:fldCharType="end"/>
        </w:r>
      </w:hyperlink>
    </w:p>
    <w:p w:rsidR="00E963C7" w:rsidRDefault="00303225"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8A26A3">
          <w:rPr>
            <w:noProof/>
            <w:webHidden/>
          </w:rPr>
          <w:t>15</w:t>
        </w:r>
        <w:r w:rsidR="00E963C7">
          <w:rPr>
            <w:noProof/>
            <w:webHidden/>
          </w:rPr>
          <w:fldChar w:fldCharType="end"/>
        </w:r>
      </w:hyperlink>
    </w:p>
    <w:p w:rsidR="00E963C7" w:rsidRDefault="00303225"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8A26A3">
          <w:rPr>
            <w:noProof/>
            <w:webHidden/>
          </w:rPr>
          <w:t>21</w:t>
        </w:r>
        <w:r w:rsidR="00E963C7">
          <w:rPr>
            <w:noProof/>
            <w:webHidden/>
          </w:rPr>
          <w:fldChar w:fldCharType="end"/>
        </w:r>
      </w:hyperlink>
    </w:p>
    <w:p w:rsidR="00E963C7" w:rsidRDefault="00303225"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8A26A3">
          <w:rPr>
            <w:noProof/>
            <w:webHidden/>
          </w:rPr>
          <w:t>22</w:t>
        </w:r>
        <w:r w:rsidR="00E963C7">
          <w:rPr>
            <w:noProof/>
            <w:webHidden/>
          </w:rPr>
          <w:fldChar w:fldCharType="end"/>
        </w:r>
      </w:hyperlink>
    </w:p>
    <w:p w:rsidR="00E963C7" w:rsidRDefault="00303225" w:rsidP="00E963C7">
      <w:pPr>
        <w:pStyle w:val="TOC2"/>
        <w:rPr>
          <w:noProof/>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8A26A3">
          <w:rPr>
            <w:noProof/>
            <w:webHidden/>
          </w:rPr>
          <w:t>23</w:t>
        </w:r>
        <w:r w:rsidR="00E963C7">
          <w:rPr>
            <w:noProof/>
            <w:webHidden/>
          </w:rPr>
          <w:fldChar w:fldCharType="end"/>
        </w:r>
      </w:hyperlink>
    </w:p>
    <w:p w:rsidR="00CF3428" w:rsidRPr="00CF3428" w:rsidRDefault="00CF3428" w:rsidP="00CF3428">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w:t>
      </w:r>
      <w:r w:rsidRPr="00B252C9">
        <w:rPr>
          <w:rFonts w:asciiTheme="majorHAnsi" w:hAnsiTheme="majorHAnsi"/>
          <w:bCs/>
          <w:noProof/>
          <w:sz w:val="20"/>
          <w:szCs w:val="20"/>
          <w:lang w:eastAsia="zh-TW"/>
        </w:rPr>
        <w:t>2</w:t>
      </w:r>
      <w:r w:rsidR="00B252C9" w:rsidRPr="00B252C9">
        <w:rPr>
          <w:rFonts w:asciiTheme="majorHAnsi" w:hAnsiTheme="majorHAnsi"/>
          <w:bCs/>
          <w:noProof/>
          <w:sz w:val="20"/>
          <w:szCs w:val="20"/>
          <w:lang w:eastAsia="zh-TW"/>
        </w:rPr>
        <w:t>4</w:t>
      </w:r>
    </w:p>
    <w:p w:rsidR="00E963C7" w:rsidRDefault="00303225"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8A26A3">
          <w:rPr>
            <w:noProof/>
            <w:webHidden/>
          </w:rPr>
          <w:t>25</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8A26A3">
          <w:rPr>
            <w:noProof/>
            <w:webHidden/>
          </w:rPr>
          <w:t>28</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8A26A3">
          <w:rPr>
            <w:noProof/>
            <w:webHidden/>
          </w:rPr>
          <w:t>33</w:t>
        </w:r>
        <w:r w:rsidR="00E963C7">
          <w:rPr>
            <w:noProof/>
            <w:webHidden/>
          </w:rPr>
          <w:fldChar w:fldCharType="end"/>
        </w:r>
      </w:hyperlink>
    </w:p>
    <w:p w:rsidR="00E963C7" w:rsidRDefault="00303225"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8A26A3">
          <w:rPr>
            <w:noProof/>
            <w:webHidden/>
          </w:rPr>
          <w:t>34</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506294877"/>
      <w:r w:rsidRPr="007D32C6">
        <w:rPr>
          <w:rFonts w:asciiTheme="majorHAnsi" w:hAnsiTheme="majorHAnsi"/>
          <w:i w:val="0"/>
          <w:iCs w:val="0"/>
          <w:color w:val="000000"/>
          <w:sz w:val="24"/>
          <w:szCs w:val="24"/>
          <w:u w:val="none"/>
        </w:rPr>
        <w:lastRenderedPageBreak/>
        <w:t>POZIV</w:t>
      </w:r>
      <w:bookmarkEnd w:id="1"/>
      <w:r w:rsidRPr="007D32C6">
        <w:rPr>
          <w:rFonts w:asciiTheme="majorHAnsi" w:hAnsiTheme="majorHAnsi"/>
          <w:i w:val="0"/>
          <w:iCs w:val="0"/>
          <w:color w:val="000000"/>
          <w:sz w:val="24"/>
          <w:szCs w:val="24"/>
          <w:u w:val="none"/>
        </w:rPr>
        <w:t xml:space="preserve"> ZA JAVNO NADMETANJE U OTVORENOM POSTUPKU JAVNE NABAVKE</w:t>
      </w:r>
      <w:bookmarkEnd w:id="2"/>
    </w:p>
    <w:p w:rsidR="00794548" w:rsidRPr="007D32C6" w:rsidRDefault="00CF3428" w:rsidP="00CF3428">
      <w:pPr>
        <w:spacing w:after="0" w:line="240" w:lineRule="auto"/>
        <w:ind w:left="360"/>
        <w:jc w:val="center"/>
        <w:rPr>
          <w:rFonts w:asciiTheme="majorHAnsi" w:hAnsiTheme="majorHAnsi" w:cs="Times New Roman"/>
          <w:b/>
          <w:bCs/>
          <w:color w:val="000000"/>
          <w:sz w:val="24"/>
          <w:szCs w:val="24"/>
          <w:lang w:val="pl-PL"/>
        </w:rPr>
      </w:pPr>
      <w:r>
        <w:rPr>
          <w:rFonts w:asciiTheme="majorHAnsi" w:hAnsiTheme="majorHAnsi" w:cs="Times New Roman"/>
          <w:b/>
          <w:bCs/>
          <w:color w:val="000000"/>
          <w:sz w:val="24"/>
          <w:szCs w:val="24"/>
          <w:lang w:val="pl-PL"/>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85"/>
        <w:gridCol w:w="4320"/>
      </w:tblGrid>
      <w:tr w:rsidR="00794548" w:rsidRPr="007D32C6" w:rsidTr="000A3E80">
        <w:trPr>
          <w:trHeight w:val="513"/>
          <w:jc w:val="center"/>
        </w:trPr>
        <w:tc>
          <w:tcPr>
            <w:tcW w:w="4485"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4320"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0A3E80">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4320"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0A3E80">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4320"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0A3E80">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4320"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0A3E80">
        <w:trPr>
          <w:trHeight w:val="513"/>
          <w:jc w:val="center"/>
        </w:trPr>
        <w:tc>
          <w:tcPr>
            <w:tcW w:w="448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4320"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otvoreni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411ABC" w:rsidRDefault="00794548" w:rsidP="00BC4033">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Robe</w:t>
      </w:r>
    </w:p>
    <w:p w:rsidR="00794548" w:rsidRPr="00411ABC" w:rsidRDefault="00794548" w:rsidP="00411ABC">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lang w:val="da-DK"/>
        </w:rPr>
        <w:t xml:space="preserve"> </w:t>
      </w: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A43B6A" w:rsidP="00411ABC">
            <w:pPr>
              <w:spacing w:after="0" w:line="240" w:lineRule="auto"/>
              <w:rPr>
                <w:rFonts w:asciiTheme="majorHAnsi" w:hAnsiTheme="majorHAnsi" w:cs="Times New Roman"/>
                <w:color w:val="000000"/>
                <w:sz w:val="24"/>
                <w:szCs w:val="24"/>
              </w:rPr>
            </w:pPr>
            <w:r w:rsidRPr="00A43B6A">
              <w:rPr>
                <w:rFonts w:asciiTheme="majorHAnsi" w:hAnsiTheme="majorHAnsi" w:cs="Times New Roman"/>
                <w:color w:val="000000"/>
                <w:sz w:val="24"/>
                <w:szCs w:val="24"/>
              </w:rPr>
              <w:t>Predmet javne nabavke je izbor najpovoljnije ponude za nabavku roba – goriva za potrebe Agencije za nadzor osiguranja.</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A43B6A" w:rsidP="00385C7F">
            <w:pPr>
              <w:spacing w:after="0" w:line="240" w:lineRule="auto"/>
              <w:rPr>
                <w:rFonts w:asciiTheme="majorHAnsi" w:hAnsiTheme="majorHAnsi" w:cs="Times New Roman"/>
                <w:color w:val="000000"/>
                <w:sz w:val="24"/>
                <w:szCs w:val="24"/>
              </w:rPr>
            </w:pPr>
            <w:r w:rsidRPr="00A43B6A">
              <w:rPr>
                <w:rFonts w:asciiTheme="majorHAnsi" w:hAnsiTheme="majorHAnsi" w:cs="Times New Roman"/>
                <w:color w:val="000000"/>
                <w:sz w:val="24"/>
                <w:szCs w:val="24"/>
              </w:rPr>
              <w:t>09134200-9 - Dizel gorivo</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b/>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kao cjelina,</w:t>
      </w:r>
      <w:r w:rsidRPr="007D32C6">
        <w:rPr>
          <w:rFonts w:asciiTheme="majorHAnsi" w:hAnsiTheme="majorHAnsi" w:cs="Times New Roman"/>
          <w:color w:val="000000"/>
          <w:sz w:val="24"/>
          <w:szCs w:val="24"/>
          <w:lang w:val="pl-PL"/>
        </w:rPr>
        <w:t xml:space="preserve"> procijenjene vrijednosti sa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A43B6A">
        <w:rPr>
          <w:rFonts w:asciiTheme="majorHAnsi" w:hAnsiTheme="majorHAnsi" w:cs="Times New Roman"/>
          <w:b/>
          <w:color w:val="000000"/>
          <w:sz w:val="24"/>
          <w:szCs w:val="24"/>
          <w:lang w:val="pl-PL"/>
        </w:rPr>
        <w:t>2</w:t>
      </w:r>
      <w:r w:rsidR="00385C7F" w:rsidRPr="00385C7F">
        <w:rPr>
          <w:rFonts w:asciiTheme="majorHAnsi" w:hAnsiTheme="majorHAnsi" w:cs="Times New Roman"/>
          <w:b/>
          <w:color w:val="000000"/>
          <w:sz w:val="24"/>
          <w:szCs w:val="24"/>
          <w:lang w:val="pl-PL"/>
        </w:rPr>
        <w:t>.</w:t>
      </w:r>
      <w:r w:rsidR="00A43B6A">
        <w:rPr>
          <w:rFonts w:asciiTheme="majorHAnsi" w:hAnsiTheme="majorHAnsi" w:cs="Times New Roman"/>
          <w:b/>
          <w:color w:val="000000"/>
          <w:sz w:val="24"/>
          <w:szCs w:val="24"/>
          <w:lang w:val="pl-PL"/>
        </w:rPr>
        <w:t>0</w:t>
      </w:r>
      <w:r w:rsidR="00385C7F" w:rsidRPr="00385C7F">
        <w:rPr>
          <w:rFonts w:asciiTheme="majorHAnsi" w:hAnsiTheme="majorHAnsi" w:cs="Times New Roman"/>
          <w:b/>
          <w:color w:val="000000"/>
          <w:sz w:val="24"/>
          <w:szCs w:val="24"/>
          <w:lang w:val="pl-PL"/>
        </w:rPr>
        <w:t>00,00</w:t>
      </w:r>
      <w:r w:rsidR="00411ABC">
        <w:rPr>
          <w:rFonts w:asciiTheme="majorHAnsi" w:hAnsiTheme="majorHAnsi" w:cs="Times New Roman"/>
          <w:b/>
          <w:color w:val="000000"/>
          <w:sz w:val="24"/>
          <w:szCs w:val="24"/>
          <w:lang w:val="pl-PL"/>
        </w:rPr>
        <w:t xml:space="preserve"> €.</w:t>
      </w:r>
    </w:p>
    <w:p w:rsidR="000A3E80" w:rsidRPr="007D32C6" w:rsidRDefault="000A3E80"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lastRenderedPageBreak/>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105174" w:rsidRDefault="00105174" w:rsidP="00794548">
      <w:pPr>
        <w:spacing w:after="0" w:line="240" w:lineRule="auto"/>
        <w:jc w:val="both"/>
        <w:rPr>
          <w:rFonts w:asciiTheme="majorHAnsi" w:hAnsiTheme="majorHAnsi" w:cs="Times New Roman"/>
          <w:b/>
          <w:bCs/>
          <w:color w:val="000000"/>
          <w:sz w:val="24"/>
          <w:szCs w:val="24"/>
          <w:lang w:val="hr-HR"/>
        </w:rPr>
      </w:pPr>
    </w:p>
    <w:p w:rsidR="00105174"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CF3428">
        <w:rPr>
          <w:rFonts w:asciiTheme="majorHAnsi" w:hAnsiTheme="majorHAnsi" w:cs="Times New Roman"/>
          <w:color w:val="000000"/>
          <w:sz w:val="24"/>
          <w:szCs w:val="24"/>
          <w:lang w:val="pl-PL"/>
        </w:rPr>
        <w:t xml:space="preserve"> ne</w:t>
      </w:r>
    </w:p>
    <w:p w:rsidR="00B252C9" w:rsidRPr="00CF3428" w:rsidRDefault="00B252C9"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CF342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je upisan u registar kod organa nadležnog za registraciju privrednih subjekata;</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je uredno izvršio sve obaveze po osnovu poreza i doprinosa u skladu sa zakonom, odnosno propisima države u kojoj ima sjedište;</w:t>
      </w:r>
    </w:p>
    <w:p w:rsidR="00794548"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3) dokaže da on odnosno njegov zakonski zastupnik nije pravosnažno osuđivan za neko od krivičnih djela organizovanog kriminala sa elementima korupcije, pranja novca i prevare;</w:t>
      </w:r>
    </w:p>
    <w:p w:rsidR="00A43B6A" w:rsidRPr="00A43B6A" w:rsidRDefault="00A43B6A" w:rsidP="00A43B6A">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4) ima dozvolu, licencu, odobrenje ili drugi akt za obavljanje djelatnosti koja je predmet javne nabavke, ukoliko je propisan posebnim zakonom.</w:t>
      </w:r>
    </w:p>
    <w:p w:rsidR="00A43B6A" w:rsidRDefault="00A43B6A"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Uslovi iz stava 1 ove tačke ne odnose se na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A43B6A" w:rsidRPr="00A36D14" w:rsidRDefault="00A43B6A" w:rsidP="00A36D14">
      <w:pPr>
        <w:autoSpaceDE w:val="0"/>
        <w:autoSpaceDN w:val="0"/>
        <w:adjustRightInd w:val="0"/>
        <w:spacing w:after="0" w:line="240" w:lineRule="auto"/>
        <w:ind w:left="306" w:hanging="306"/>
        <w:jc w:val="both"/>
        <w:rPr>
          <w:rFonts w:asciiTheme="majorHAnsi" w:hAnsiTheme="majorHAnsi" w:cs="Times New Roman"/>
          <w:color w:val="000000"/>
          <w:sz w:val="24"/>
          <w:szCs w:val="24"/>
        </w:rPr>
      </w:pPr>
    </w:p>
    <w:p w:rsidR="00794548" w:rsidRPr="00A36D14" w:rsidRDefault="00794548" w:rsidP="00A36D14">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A36D14">
        <w:rPr>
          <w:rFonts w:asciiTheme="majorHAnsi" w:hAnsiTheme="majorHAnsi" w:cs="Times New Roman"/>
          <w:color w:val="000000"/>
          <w:sz w:val="24"/>
          <w:szCs w:val="24"/>
        </w:rPr>
        <w:t>Ispunjenost obaveznih uslova dokazuje se dostavljanjem:</w:t>
      </w:r>
    </w:p>
    <w:p w:rsidR="00794548" w:rsidRPr="007D32C6"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dokaza o registraciji kod organa nadležnog za registraciju privrednih subjekata sa podacima o ovlašćenim licima ponuđača;</w:t>
      </w:r>
    </w:p>
    <w:p w:rsidR="00794548" w:rsidRPr="007D32C6"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548"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3) dokaza nadležnog organa izdatog na osnovu kaznene evidencije, koji ne smije biti stariji od šest mjeseci do dana javnog otvaranja ponuda;</w:t>
      </w:r>
    </w:p>
    <w:p w:rsidR="00A43B6A" w:rsidRPr="00A43B6A" w:rsidRDefault="00A43B6A"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4) dokaza o posjedovanju važeće dozvole, licence, odobrenja, odnosno drugog akta izdatog od nadležnog organa i to:</w:t>
      </w:r>
    </w:p>
    <w:p w:rsidR="00492067" w:rsidRDefault="00A43B6A" w:rsidP="00B252C9">
      <w:pPr>
        <w:autoSpaceDE w:val="0"/>
        <w:autoSpaceDN w:val="0"/>
        <w:adjustRightInd w:val="0"/>
        <w:spacing w:after="0" w:line="240" w:lineRule="auto"/>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U skladu sa članom 4 stav 2 Pravilnika o metodologiji </w:t>
      </w:r>
      <w:proofErr w:type="gramStart"/>
      <w:r w:rsidRPr="00A43B6A">
        <w:rPr>
          <w:rFonts w:asciiTheme="majorHAnsi" w:hAnsiTheme="majorHAnsi" w:cs="Times New Roman"/>
          <w:color w:val="000000"/>
          <w:sz w:val="24"/>
          <w:szCs w:val="24"/>
        </w:rPr>
        <w:t>iskazivan</w:t>
      </w:r>
      <w:r w:rsidR="00492067">
        <w:rPr>
          <w:rFonts w:asciiTheme="majorHAnsi" w:hAnsiTheme="majorHAnsi" w:cs="Times New Roman"/>
          <w:color w:val="000000"/>
          <w:sz w:val="24"/>
          <w:szCs w:val="24"/>
        </w:rPr>
        <w:t xml:space="preserve">ja </w:t>
      </w:r>
      <w:r w:rsidR="00B252C9">
        <w:rPr>
          <w:rFonts w:asciiTheme="majorHAnsi" w:hAnsiTheme="majorHAnsi" w:cs="Times New Roman"/>
          <w:color w:val="000000"/>
          <w:sz w:val="24"/>
          <w:szCs w:val="24"/>
        </w:rPr>
        <w:t xml:space="preserve"> </w:t>
      </w:r>
      <w:r w:rsidR="00492067">
        <w:rPr>
          <w:rFonts w:asciiTheme="majorHAnsi" w:hAnsiTheme="majorHAnsi" w:cs="Times New Roman"/>
          <w:color w:val="000000"/>
          <w:sz w:val="24"/>
          <w:szCs w:val="24"/>
        </w:rPr>
        <w:t>podkriterijuma</w:t>
      </w:r>
      <w:proofErr w:type="gramEnd"/>
      <w:r w:rsidR="00492067">
        <w:rPr>
          <w:rFonts w:asciiTheme="majorHAnsi" w:hAnsiTheme="majorHAnsi" w:cs="Times New Roman"/>
          <w:color w:val="000000"/>
          <w:sz w:val="24"/>
          <w:szCs w:val="24"/>
        </w:rPr>
        <w:t xml:space="preserve"> u</w:t>
      </w:r>
      <w:r w:rsidR="00B252C9">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odgovarajući bodova, o načinu ocjene i upoređivan</w:t>
      </w:r>
      <w:r w:rsidR="00A36D14">
        <w:rPr>
          <w:rFonts w:asciiTheme="majorHAnsi" w:hAnsiTheme="majorHAnsi" w:cs="Times New Roman"/>
          <w:color w:val="000000"/>
          <w:sz w:val="24"/>
          <w:szCs w:val="24"/>
        </w:rPr>
        <w:t>ja ponuda, Naručilac se obratio</w:t>
      </w:r>
      <w:r w:rsidR="00B252C9">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Regulatornoj Agenciji za en</w:t>
      </w:r>
      <w:r>
        <w:rPr>
          <w:rFonts w:asciiTheme="majorHAnsi" w:hAnsiTheme="majorHAnsi" w:cs="Times New Roman"/>
          <w:color w:val="000000"/>
          <w:sz w:val="24"/>
          <w:szCs w:val="24"/>
        </w:rPr>
        <w:t>ergetiku, koja se aktom broj: 18/1183-2 od 23</w:t>
      </w:r>
      <w:r w:rsidR="00A36D14">
        <w:rPr>
          <w:rFonts w:asciiTheme="majorHAnsi" w:hAnsiTheme="majorHAnsi" w:cs="Times New Roman"/>
          <w:color w:val="000000"/>
          <w:sz w:val="24"/>
          <w:szCs w:val="24"/>
        </w:rPr>
        <w:t>. 03. 2018.</w:t>
      </w:r>
      <w:r w:rsidR="00B252C9">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godine izjasnila da su ponuđači, u predmetnom postupku javne nabavke</w:t>
      </w:r>
      <w:r w:rsidR="00492067">
        <w:rPr>
          <w:rFonts w:asciiTheme="majorHAnsi" w:hAnsiTheme="majorHAnsi" w:cs="Times New Roman"/>
          <w:color w:val="000000"/>
          <w:sz w:val="24"/>
          <w:szCs w:val="24"/>
        </w:rPr>
        <w:t>, dužni da</w:t>
      </w:r>
    </w:p>
    <w:p w:rsidR="00A43B6A" w:rsidRDefault="00A43B6A" w:rsidP="00B252C9">
      <w:pPr>
        <w:autoSpaceDE w:val="0"/>
        <w:autoSpaceDN w:val="0"/>
        <w:adjustRightInd w:val="0"/>
        <w:spacing w:after="0" w:line="240" w:lineRule="auto"/>
        <w:jc w:val="both"/>
        <w:rPr>
          <w:rFonts w:asciiTheme="majorHAnsi" w:hAnsiTheme="majorHAnsi" w:cs="Times New Roman"/>
          <w:color w:val="000000"/>
          <w:sz w:val="24"/>
          <w:szCs w:val="24"/>
        </w:rPr>
      </w:pPr>
      <w:proofErr w:type="gramStart"/>
      <w:r w:rsidRPr="00A43B6A">
        <w:rPr>
          <w:rFonts w:asciiTheme="majorHAnsi" w:hAnsiTheme="majorHAnsi" w:cs="Times New Roman"/>
          <w:color w:val="000000"/>
          <w:sz w:val="24"/>
          <w:szCs w:val="24"/>
        </w:rPr>
        <w:t>dostave  sljedeće</w:t>
      </w:r>
      <w:proofErr w:type="gramEnd"/>
      <w:r w:rsidRPr="00A43B6A">
        <w:rPr>
          <w:rFonts w:asciiTheme="majorHAnsi" w:hAnsiTheme="majorHAnsi" w:cs="Times New Roman"/>
          <w:color w:val="000000"/>
          <w:sz w:val="24"/>
          <w:szCs w:val="24"/>
        </w:rPr>
        <w:t xml:space="preserve"> licence:</w:t>
      </w:r>
    </w:p>
    <w:p w:rsidR="00A43B6A" w:rsidRP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p>
    <w:p w:rsidR="00A43B6A" w:rsidRP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Licencu za trgovinu na malo naftnim derivatima;</w:t>
      </w:r>
    </w:p>
    <w:p w:rsidR="00A43B6A" w:rsidRP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Licencu za skladištenje naftne i naftnih derivata.</w:t>
      </w:r>
    </w:p>
    <w:p w:rsidR="00B252C9" w:rsidRDefault="00B252C9" w:rsidP="00B252C9">
      <w:pPr>
        <w:autoSpaceDE w:val="0"/>
        <w:autoSpaceDN w:val="0"/>
        <w:adjustRightInd w:val="0"/>
        <w:spacing w:after="0" w:line="240" w:lineRule="auto"/>
        <w:jc w:val="both"/>
        <w:rPr>
          <w:rFonts w:asciiTheme="majorHAnsi" w:hAnsiTheme="majorHAnsi" w:cs="Times New Roman"/>
          <w:color w:val="000000"/>
          <w:sz w:val="24"/>
          <w:szCs w:val="24"/>
        </w:rPr>
      </w:pPr>
    </w:p>
    <w:p w:rsidR="00A43B6A" w:rsidRDefault="00A43B6A" w:rsidP="00B252C9">
      <w:pPr>
        <w:autoSpaceDE w:val="0"/>
        <w:autoSpaceDN w:val="0"/>
        <w:adjustRightInd w:val="0"/>
        <w:spacing w:after="0" w:line="240" w:lineRule="auto"/>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Ponuđači kojima su izdate </w:t>
      </w:r>
      <w:proofErr w:type="gramStart"/>
      <w:r w:rsidRPr="00A43B6A">
        <w:rPr>
          <w:rFonts w:asciiTheme="majorHAnsi" w:hAnsiTheme="majorHAnsi" w:cs="Times New Roman"/>
          <w:color w:val="000000"/>
          <w:sz w:val="24"/>
          <w:szCs w:val="24"/>
        </w:rPr>
        <w:t>licence  po</w:t>
      </w:r>
      <w:proofErr w:type="gramEnd"/>
      <w:r w:rsidRPr="00A43B6A">
        <w:rPr>
          <w:rFonts w:asciiTheme="majorHAnsi" w:hAnsiTheme="majorHAnsi" w:cs="Times New Roman"/>
          <w:color w:val="000000"/>
          <w:sz w:val="24"/>
          <w:szCs w:val="24"/>
        </w:rPr>
        <w:t xml:space="preserve"> Zakonu o energ</w:t>
      </w:r>
      <w:r w:rsidR="00A36D14">
        <w:rPr>
          <w:rFonts w:asciiTheme="majorHAnsi" w:hAnsiTheme="majorHAnsi" w:cs="Times New Roman"/>
          <w:color w:val="000000"/>
          <w:sz w:val="24"/>
          <w:szCs w:val="24"/>
        </w:rPr>
        <w:t xml:space="preserve">etici koji je prestao da važi u </w:t>
      </w:r>
      <w:r>
        <w:rPr>
          <w:rFonts w:asciiTheme="majorHAnsi" w:hAnsiTheme="majorHAnsi" w:cs="Times New Roman"/>
          <w:color w:val="000000"/>
          <w:sz w:val="24"/>
          <w:szCs w:val="24"/>
        </w:rPr>
        <w:t>maju</w:t>
      </w:r>
      <w:r w:rsidR="00A36D14">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2010. godine, a koje važe do isteka roka na koji su izdate, zavisno od djelatnosti koju</w:t>
      </w:r>
      <w:r w:rsidR="00A36D14">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obavljaju, treba da posjeduju sljedeće licence za gorivo i autogas:</w:t>
      </w:r>
    </w:p>
    <w:p w:rsidR="00B252C9" w:rsidRPr="00A43B6A" w:rsidRDefault="00B252C9" w:rsidP="00B252C9">
      <w:pPr>
        <w:autoSpaceDE w:val="0"/>
        <w:autoSpaceDN w:val="0"/>
        <w:adjustRightInd w:val="0"/>
        <w:spacing w:after="0" w:line="240" w:lineRule="auto"/>
        <w:jc w:val="both"/>
        <w:rPr>
          <w:rFonts w:asciiTheme="majorHAnsi" w:hAnsiTheme="majorHAnsi" w:cs="Times New Roman"/>
          <w:color w:val="000000"/>
          <w:sz w:val="24"/>
          <w:szCs w:val="24"/>
        </w:rPr>
      </w:pPr>
    </w:p>
    <w:p w:rsidR="00A43B6A" w:rsidRDefault="00A43B6A" w:rsidP="00A36D14">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Licencu za prodaju i snabdijevanje naftnim derivatima;</w:t>
      </w:r>
    </w:p>
    <w:p w:rsidR="00B252C9" w:rsidRPr="00A43B6A" w:rsidRDefault="00A43B6A" w:rsidP="006B70CF">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 Licencu za skladištenje </w:t>
      </w:r>
      <w:r>
        <w:rPr>
          <w:rFonts w:asciiTheme="majorHAnsi" w:hAnsiTheme="majorHAnsi" w:cs="Times New Roman"/>
          <w:color w:val="000000"/>
          <w:sz w:val="24"/>
          <w:szCs w:val="24"/>
        </w:rPr>
        <w:t>i distribuciju naftnih derivate.</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Ne zahtijeva </w:t>
      </w:r>
      <w:r w:rsidR="00A24AC6">
        <w:rPr>
          <w:rFonts w:ascii="Cambria" w:hAnsi="Cambria" w:cs="Times New Roman"/>
          <w:color w:val="000000"/>
          <w:sz w:val="24"/>
          <w:szCs w:val="24"/>
        </w:rPr>
        <w:t xml:space="preserve">se.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895DA0" w:rsidRPr="00895DA0" w:rsidRDefault="00895DA0" w:rsidP="00895DA0">
      <w:pPr>
        <w:spacing w:after="0" w:line="240" w:lineRule="auto"/>
        <w:jc w:val="both"/>
        <w:rPr>
          <w:rFonts w:ascii="Cambria" w:hAnsi="Cambria" w:cs="Times New Roman"/>
          <w:bCs/>
          <w:color w:val="000000"/>
          <w:sz w:val="24"/>
          <w:szCs w:val="24"/>
          <w:lang w:val="sl-SI"/>
        </w:rPr>
      </w:pPr>
    </w:p>
    <w:p w:rsidR="00895DA0" w:rsidRPr="00895DA0" w:rsidRDefault="00895DA0" w:rsidP="00895DA0">
      <w:pPr>
        <w:spacing w:after="0" w:line="240" w:lineRule="auto"/>
        <w:jc w:val="both"/>
        <w:rPr>
          <w:rFonts w:ascii="Cambria" w:hAnsi="Cambria" w:cs="Times New Roman"/>
          <w:bCs/>
          <w:color w:val="000000"/>
          <w:sz w:val="24"/>
          <w:szCs w:val="24"/>
          <w:lang w:val="sl-SI"/>
        </w:rPr>
      </w:pPr>
      <w:r w:rsidRPr="00895DA0">
        <w:rPr>
          <w:rFonts w:ascii="Cambria" w:hAnsi="Cambria" w:cs="Times New Roman"/>
          <w:bCs/>
          <w:color w:val="000000"/>
          <w:sz w:val="24"/>
          <w:szCs w:val="24"/>
          <w:lang w:val="sl-SI"/>
        </w:rPr>
        <w:t>Ispunjenost uslova stručno - tehničke i kadrovske osposobljenosti u postupku javne nabavke roba dokazuje se dostav</w:t>
      </w:r>
      <w:r>
        <w:rPr>
          <w:rFonts w:ascii="Cambria" w:hAnsi="Cambria" w:cs="Times New Roman"/>
          <w:bCs/>
          <w:color w:val="000000"/>
          <w:sz w:val="24"/>
          <w:szCs w:val="24"/>
          <w:lang w:val="sl-SI"/>
        </w:rPr>
        <w:t>ljanjem sljedeć</w:t>
      </w:r>
      <w:r w:rsidRPr="00895DA0">
        <w:rPr>
          <w:rFonts w:ascii="Cambria" w:hAnsi="Cambria" w:cs="Times New Roman"/>
          <w:bCs/>
          <w:color w:val="000000"/>
          <w:sz w:val="24"/>
          <w:szCs w:val="24"/>
          <w:lang w:val="sl-SI"/>
        </w:rPr>
        <w:t>eg dokaza:</w:t>
      </w:r>
    </w:p>
    <w:p w:rsidR="00895DA0" w:rsidRPr="00895DA0" w:rsidRDefault="00895DA0" w:rsidP="00895DA0">
      <w:pPr>
        <w:spacing w:after="0" w:line="240" w:lineRule="auto"/>
        <w:jc w:val="both"/>
        <w:rPr>
          <w:rFonts w:ascii="Cambria" w:hAnsi="Cambria" w:cs="Times New Roman"/>
          <w:bCs/>
          <w:color w:val="000000"/>
          <w:sz w:val="24"/>
          <w:szCs w:val="24"/>
          <w:lang w:val="sl-SI"/>
        </w:rPr>
      </w:pPr>
    </w:p>
    <w:p w:rsidR="008616F3" w:rsidRDefault="00895DA0" w:rsidP="00895DA0">
      <w:pPr>
        <w:spacing w:after="0" w:line="240" w:lineRule="auto"/>
        <w:jc w:val="both"/>
        <w:rPr>
          <w:rFonts w:ascii="Cambria" w:hAnsi="Cambria" w:cs="Times New Roman"/>
          <w:bCs/>
          <w:color w:val="000000"/>
          <w:sz w:val="24"/>
          <w:szCs w:val="24"/>
          <w:lang w:val="sl-SI"/>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Pr>
          <w:rFonts w:ascii="Cambria" w:hAnsi="Cambria" w:cs="Times New Roman"/>
          <w:bCs/>
          <w:color w:val="000000"/>
          <w:sz w:val="24"/>
          <w:szCs w:val="24"/>
          <w:lang w:val="sl-SI"/>
        </w:rPr>
        <w:t>Izjave</w:t>
      </w:r>
      <w:r w:rsidRPr="00895DA0">
        <w:rPr>
          <w:rFonts w:ascii="Cambria" w:hAnsi="Cambria" w:cs="Times New Roman"/>
          <w:bCs/>
          <w:color w:val="000000"/>
          <w:sz w:val="24"/>
          <w:szCs w:val="24"/>
          <w:lang w:val="sl-SI"/>
        </w:rPr>
        <w:t xml:space="preserve"> o namjeri i predmetu podugovaranja sa spiskom podugovarača, odnosno podizvođača sa bližim podacima (naziv, adresa, procentualno učešće i sl.).</w:t>
      </w:r>
    </w:p>
    <w:p w:rsidR="00411ABC" w:rsidRPr="00A24AC6" w:rsidRDefault="00411ABC"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A43B6A">
        <w:rPr>
          <w:rFonts w:asciiTheme="majorHAnsi" w:hAnsiTheme="majorHAnsi" w:cs="Times New Roman"/>
          <w:color w:val="000000"/>
          <w:sz w:val="24"/>
          <w:szCs w:val="24"/>
        </w:rPr>
        <w:t>9</w:t>
      </w:r>
      <w:r w:rsidR="00385C7F">
        <w:rPr>
          <w:rFonts w:asciiTheme="majorHAnsi" w:hAnsiTheme="majorHAnsi" w:cs="Times New Roman"/>
          <w:color w:val="000000"/>
          <w:sz w:val="24"/>
          <w:szCs w:val="24"/>
        </w:rPr>
        <w:t>0</w:t>
      </w:r>
      <w:r w:rsidRPr="007D32C6">
        <w:rPr>
          <w:rFonts w:asciiTheme="majorHAnsi" w:hAnsiTheme="majorHAnsi" w:cs="Times New Roman"/>
          <w:color w:val="000000"/>
          <w:sz w:val="24"/>
          <w:szCs w:val="24"/>
        </w:rPr>
        <w:t xml:space="preserve"> dana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bookmarkEnd w:id="3"/>
    <w:p w:rsidR="00A43B6A" w:rsidRPr="00A43B6A" w:rsidRDefault="00A43B6A" w:rsidP="00A43B6A">
      <w:pPr>
        <w:spacing w:after="0" w:line="240" w:lineRule="auto"/>
        <w:jc w:val="both"/>
        <w:rPr>
          <w:rFonts w:ascii="Cambria" w:hAnsi="Cambria" w:cs="Times New Roman"/>
          <w:color w:val="000000"/>
          <w:sz w:val="24"/>
          <w:szCs w:val="24"/>
        </w:rPr>
      </w:pPr>
      <w:r w:rsidRPr="00A43B6A">
        <w:rPr>
          <w:rFonts w:ascii="Cambria" w:hAnsi="Cambria" w:cs="Times New Roman"/>
          <w:color w:val="000000"/>
          <w:sz w:val="24"/>
          <w:szCs w:val="24"/>
        </w:rPr>
        <w:sym w:font="Wingdings" w:char="F0A8"/>
      </w:r>
      <w:r w:rsidRPr="00A43B6A">
        <w:rPr>
          <w:rFonts w:ascii="Cambria" w:hAnsi="Cambria" w:cs="Times New Roman"/>
          <w:color w:val="000000"/>
          <w:sz w:val="24"/>
          <w:szCs w:val="24"/>
        </w:rPr>
        <w:t xml:space="preserve"> Da</w:t>
      </w:r>
    </w:p>
    <w:p w:rsidR="00A43B6A" w:rsidRDefault="00A43B6A" w:rsidP="00A43B6A">
      <w:pPr>
        <w:spacing w:after="0" w:line="240" w:lineRule="auto"/>
        <w:jc w:val="both"/>
        <w:rPr>
          <w:rFonts w:ascii="Cambria" w:hAnsi="Cambria" w:cs="Times New Roman"/>
          <w:color w:val="000000"/>
          <w:sz w:val="24"/>
          <w:szCs w:val="24"/>
        </w:rPr>
      </w:pPr>
    </w:p>
    <w:p w:rsidR="00A43B6A" w:rsidRPr="00A36D14" w:rsidRDefault="00A43B6A" w:rsidP="00A43B6A">
      <w:pPr>
        <w:spacing w:after="0" w:line="240" w:lineRule="auto"/>
        <w:jc w:val="both"/>
        <w:rPr>
          <w:rFonts w:asciiTheme="majorHAnsi" w:hAnsiTheme="majorHAnsi" w:cs="Times New Roman"/>
          <w:color w:val="000000"/>
          <w:sz w:val="24"/>
          <w:szCs w:val="24"/>
        </w:rPr>
      </w:pPr>
      <w:r w:rsidRPr="00A43B6A">
        <w:rPr>
          <w:rFonts w:ascii="Cambria" w:hAnsi="Cambria" w:cs="Times New Roman"/>
          <w:color w:val="000000"/>
          <w:sz w:val="24"/>
          <w:szCs w:val="24"/>
        </w:rPr>
        <w:t xml:space="preserve">U cilju </w:t>
      </w:r>
      <w:r w:rsidRPr="00A36D14">
        <w:rPr>
          <w:rFonts w:asciiTheme="majorHAnsi" w:hAnsiTheme="majorHAnsi" w:cs="Times New Roman"/>
          <w:color w:val="000000"/>
          <w:sz w:val="24"/>
          <w:szCs w:val="24"/>
        </w:rPr>
        <w:t xml:space="preserve">zaštite od neozbiljnih ponuda ponuđač je dužan da dostavi garanciju ponude na iznos od 2% od procijenjene vrijednosti javne nabavke, kao garanciju ostajanja u obavezi prema svojoj ponudi u roku važenja ponude i 7 dana nakon isteka važenja ponude. </w:t>
      </w:r>
    </w:p>
    <w:p w:rsidR="00105174" w:rsidRPr="00105174" w:rsidRDefault="00105174" w:rsidP="00794548">
      <w:pPr>
        <w:spacing w:after="0" w:line="240" w:lineRule="auto"/>
        <w:jc w:val="both"/>
        <w:rPr>
          <w:rFonts w:asciiTheme="majorHAnsi" w:hAnsiTheme="majorHAnsi" w:cs="Times New Roman"/>
          <w:color w:val="000000"/>
          <w:sz w:val="24"/>
          <w:szCs w:val="24"/>
        </w:rPr>
      </w:pPr>
    </w:p>
    <w:p w:rsidR="00105174" w:rsidRPr="00105174" w:rsidRDefault="00794548" w:rsidP="0010517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 xml:space="preserve">b) </w:t>
      </w:r>
      <w:r w:rsidR="00A43B6A">
        <w:rPr>
          <w:rFonts w:ascii="Cambria" w:hAnsi="Cambria" w:cs="Times New Roman"/>
          <w:color w:val="000000"/>
          <w:sz w:val="24"/>
          <w:szCs w:val="24"/>
          <w:lang w:val="pl-PL"/>
        </w:rPr>
        <w:t>Mjesto izvršenja ugovora j</w:t>
      </w:r>
      <w:r w:rsidR="00A43B6A" w:rsidRPr="00F973AA">
        <w:rPr>
          <w:rFonts w:ascii="Cambria" w:hAnsi="Cambria" w:cs="Times New Roman"/>
          <w:color w:val="000000"/>
          <w:sz w:val="24"/>
          <w:szCs w:val="24"/>
          <w:lang w:val="pl-PL"/>
        </w:rPr>
        <w:t xml:space="preserve">e </w:t>
      </w:r>
      <w:r w:rsidR="00A43B6A">
        <w:rPr>
          <w:rFonts w:ascii="Cambria" w:hAnsi="Cambria" w:cs="Times New Roman"/>
          <w:color w:val="000000"/>
          <w:sz w:val="24"/>
          <w:szCs w:val="24"/>
          <w:lang w:val="pl-PL"/>
        </w:rPr>
        <w:t>teritorija Crne Gore</w:t>
      </w:r>
      <w:r w:rsidR="00BC4033">
        <w:rPr>
          <w:rFonts w:ascii="Cambria" w:hAnsi="Cambria" w:cs="Times New Roman"/>
          <w:color w:val="000000"/>
          <w:sz w:val="24"/>
          <w:szCs w:val="24"/>
          <w:lang w:val="pl-PL"/>
        </w:rPr>
        <w:t>.</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crnogorski jezik i drugi jezik koji je u službenoj upotrebi u Crnoj Gori,</w:t>
      </w:r>
      <w:r w:rsidR="00CF3428">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C751A7">
        <w:rPr>
          <w:rFonts w:asciiTheme="majorHAnsi" w:hAnsiTheme="majorHAnsi" w:cs="Times New Roman"/>
          <w:color w:val="000000"/>
          <w:sz w:val="24"/>
          <w:szCs w:val="24"/>
          <w:lang w:val="pl-PL"/>
        </w:rPr>
        <w:t>19</w:t>
      </w:r>
      <w:r w:rsidR="00492067">
        <w:rPr>
          <w:rFonts w:asciiTheme="majorHAnsi" w:hAnsiTheme="majorHAnsi" w:cs="Times New Roman"/>
          <w:color w:val="000000"/>
          <w:sz w:val="24"/>
          <w:szCs w:val="24"/>
          <w:lang w:val="pl-PL"/>
        </w:rPr>
        <w:t>. 04</w:t>
      </w:r>
      <w:r w:rsidR="00CB3B5C">
        <w:rPr>
          <w:rFonts w:asciiTheme="majorHAnsi" w:hAnsiTheme="majorHAnsi" w:cs="Times New Roman"/>
          <w:color w:val="000000"/>
          <w:sz w:val="24"/>
          <w:szCs w:val="24"/>
          <w:lang w:val="pl-PL"/>
        </w:rPr>
        <w:t>. 2018.</w:t>
      </w:r>
      <w:r w:rsidRPr="007D32C6">
        <w:rPr>
          <w:rFonts w:asciiTheme="majorHAnsi" w:hAnsiTheme="majorHAnsi" w:cs="Times New Roman"/>
          <w:color w:val="000000"/>
          <w:sz w:val="24"/>
          <w:szCs w:val="24"/>
          <w:lang w:val="pl-PL"/>
        </w:rPr>
        <w:t xml:space="preserve"> godine do </w:t>
      </w:r>
      <w:r w:rsidR="00492067">
        <w:rPr>
          <w:rFonts w:asciiTheme="majorHAnsi" w:hAnsiTheme="majorHAnsi" w:cs="Times New Roman"/>
          <w:color w:val="000000"/>
          <w:sz w:val="24"/>
          <w:szCs w:val="24"/>
          <w:lang w:val="pl-PL"/>
        </w:rPr>
        <w:t>09</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lastRenderedPageBreak/>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BC4033" w:rsidRDefault="00BC4033" w:rsidP="00CF3428">
      <w:pPr>
        <w:spacing w:after="0" w:line="240" w:lineRule="auto"/>
        <w:jc w:val="both"/>
        <w:rPr>
          <w:rFonts w:asciiTheme="majorHAnsi" w:hAnsiTheme="majorHAnsi" w:cs="Times New Roman"/>
          <w:color w:val="000000"/>
          <w:sz w:val="24"/>
          <w:szCs w:val="24"/>
          <w:lang w:val="pl-PL"/>
        </w:rPr>
      </w:pP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radi o </w:t>
      </w:r>
      <w:r>
        <w:rPr>
          <w:rFonts w:ascii="Cambria" w:hAnsi="Cambria" w:cs="Times New Roman"/>
          <w:color w:val="000000"/>
          <w:sz w:val="24"/>
          <w:szCs w:val="24"/>
          <w:lang w:val="pl-PL"/>
        </w:rPr>
        <w:t>isporuci</w:t>
      </w:r>
      <w:r w:rsidR="00BC4033">
        <w:rPr>
          <w:rFonts w:ascii="Cambria" w:hAnsi="Cambria" w:cs="Times New Roman"/>
          <w:color w:val="000000"/>
          <w:sz w:val="24"/>
          <w:szCs w:val="24"/>
          <w:lang w:val="pl-PL"/>
        </w:rPr>
        <w:t xml:space="preserve"> robe-</w:t>
      </w:r>
      <w:r w:rsidR="00492067">
        <w:rPr>
          <w:rFonts w:ascii="Cambria" w:hAnsi="Cambria" w:cs="Times New Roman"/>
          <w:color w:val="000000"/>
          <w:sz w:val="24"/>
          <w:szCs w:val="24"/>
          <w:lang w:val="pl-PL"/>
        </w:rPr>
        <w:t>dizel goriva</w:t>
      </w:r>
      <w:r w:rsidR="00B412F4">
        <w:rPr>
          <w:rFonts w:ascii="Cambria" w:hAnsi="Cambria" w:cs="Times New Roman"/>
          <w:color w:val="000000"/>
          <w:sz w:val="24"/>
          <w:szCs w:val="24"/>
          <w:lang w:val="pl-PL"/>
        </w:rPr>
        <w:t xml:space="preserve"> za službena vozila, </w:t>
      </w:r>
      <w:r w:rsidR="000A3E80">
        <w:rPr>
          <w:rFonts w:ascii="Cambria" w:hAnsi="Cambria" w:cs="Times New Roman"/>
          <w:color w:val="000000"/>
          <w:sz w:val="24"/>
          <w:szCs w:val="24"/>
          <w:lang w:val="pl-PL"/>
        </w:rPr>
        <w:t xml:space="preserve">čija </w:t>
      </w:r>
      <w:r w:rsidR="00B412F4">
        <w:rPr>
          <w:rFonts w:ascii="Cambria" w:hAnsi="Cambria" w:cs="Times New Roman"/>
          <w:color w:val="000000"/>
          <w:sz w:val="24"/>
          <w:szCs w:val="24"/>
          <w:lang w:val="pl-PL"/>
        </w:rPr>
        <w:t xml:space="preserve">je </w:t>
      </w:r>
      <w:r w:rsidR="000A3E80">
        <w:rPr>
          <w:rFonts w:ascii="Cambria" w:hAnsi="Cambria" w:cs="Times New Roman"/>
          <w:color w:val="000000"/>
          <w:sz w:val="24"/>
          <w:szCs w:val="24"/>
          <w:lang w:val="pl-PL"/>
        </w:rPr>
        <w:t xml:space="preserve">nabavka </w:t>
      </w:r>
      <w:r w:rsidR="00B412F4">
        <w:rPr>
          <w:rFonts w:ascii="Cambria" w:hAnsi="Cambria" w:cs="Times New Roman"/>
          <w:color w:val="000000"/>
          <w:sz w:val="24"/>
          <w:szCs w:val="24"/>
          <w:lang w:val="pl-PL"/>
        </w:rPr>
        <w:t>neophodna za nesmetano funkcionisanje</w:t>
      </w:r>
      <w:r w:rsidR="00B412F4" w:rsidRPr="00B412F4">
        <w:t xml:space="preserve"> </w:t>
      </w:r>
      <w:r w:rsidR="00B412F4" w:rsidRPr="00B412F4">
        <w:rPr>
          <w:rFonts w:ascii="Cambria" w:hAnsi="Cambria" w:cs="Times New Roman"/>
          <w:color w:val="000000"/>
          <w:sz w:val="24"/>
          <w:szCs w:val="24"/>
          <w:lang w:val="pl-PL"/>
        </w:rPr>
        <w:t>Agencije za nadzor osiguranja</w:t>
      </w:r>
      <w:r w:rsidR="00B412F4">
        <w:rPr>
          <w:rFonts w:ascii="Cambria" w:hAnsi="Cambria" w:cs="Times New Roman"/>
          <w:color w:val="000000"/>
          <w:sz w:val="24"/>
          <w:szCs w:val="24"/>
          <w:lang w:val="pl-PL"/>
        </w:rPr>
        <w:t xml:space="preserve">, </w:t>
      </w:r>
      <w:r w:rsidRPr="009B7BD7">
        <w:rPr>
          <w:rFonts w:ascii="Cambria" w:hAnsi="Cambria" w:cs="Times New Roman"/>
          <w:color w:val="000000"/>
          <w:sz w:val="24"/>
          <w:szCs w:val="24"/>
          <w:lang w:val="pl-PL"/>
        </w:rPr>
        <w:t xml:space="preserve"> smatramo da je rok od 22 dana dovoljan za pripremu ponude</w:t>
      </w:r>
      <w:r>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B70CF">
        <w:rPr>
          <w:rFonts w:asciiTheme="majorHAnsi" w:hAnsiTheme="majorHAnsi" w:cs="Times New Roman"/>
          <w:color w:val="000000"/>
          <w:sz w:val="24"/>
          <w:szCs w:val="24"/>
          <w:lang w:val="pl-PL"/>
        </w:rPr>
        <w:t xml:space="preserve">                                      </w:t>
      </w:r>
      <w:r w:rsidR="00C751A7">
        <w:rPr>
          <w:rFonts w:asciiTheme="majorHAnsi" w:hAnsiTheme="majorHAnsi" w:cs="Times New Roman"/>
          <w:color w:val="000000"/>
          <w:sz w:val="24"/>
          <w:szCs w:val="24"/>
          <w:lang w:val="pl-PL"/>
        </w:rPr>
        <w:t>19</w:t>
      </w:r>
      <w:r w:rsidR="00492067">
        <w:rPr>
          <w:rFonts w:asciiTheme="majorHAnsi" w:hAnsiTheme="majorHAnsi" w:cs="Times New Roman"/>
          <w:color w:val="000000"/>
          <w:sz w:val="24"/>
          <w:szCs w:val="24"/>
          <w:lang w:val="pl-PL"/>
        </w:rPr>
        <w:t>. 04</w:t>
      </w:r>
      <w:r w:rsidR="00CB3B5C">
        <w:rPr>
          <w:rFonts w:asciiTheme="majorHAnsi" w:hAnsiTheme="majorHAnsi" w:cs="Times New Roman"/>
          <w:color w:val="000000"/>
          <w:sz w:val="24"/>
          <w:szCs w:val="24"/>
          <w:lang w:val="pl-PL"/>
        </w:rPr>
        <w:t>. 2018.</w:t>
      </w:r>
      <w:r w:rsidRPr="007D32C6">
        <w:rPr>
          <w:rFonts w:asciiTheme="majorHAnsi" w:hAnsiTheme="majorHAnsi" w:cs="Times New Roman"/>
          <w:color w:val="000000"/>
          <w:sz w:val="24"/>
          <w:szCs w:val="24"/>
          <w:lang w:val="pl-PL"/>
        </w:rPr>
        <w:t xml:space="preserve"> godine u </w:t>
      </w:r>
      <w:r w:rsidR="00492067">
        <w:rPr>
          <w:rFonts w:asciiTheme="majorHAnsi" w:hAnsiTheme="majorHAnsi" w:cs="Times New Roman"/>
          <w:color w:val="000000"/>
          <w:sz w:val="24"/>
          <w:szCs w:val="24"/>
          <w:lang w:val="pl-PL"/>
        </w:rPr>
        <w:t>09</w:t>
      </w:r>
      <w:r w:rsidR="00CB3B5C">
        <w:rPr>
          <w:rFonts w:asciiTheme="majorHAnsi" w:hAnsiTheme="majorHAnsi" w:cs="Times New Roman"/>
          <w:color w:val="000000"/>
          <w:sz w:val="24"/>
          <w:szCs w:val="24"/>
          <w:lang w:val="pl-PL"/>
        </w:rPr>
        <w:t xml:space="preserve">:30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CF3428"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CF3428" w:rsidRPr="00CF3428" w:rsidRDefault="00CF342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XV Drugi podaci i uslovi od značaja za sprovodjenje postupka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D32C6" w:rsidRDefault="00794548" w:rsidP="00411ABC">
      <w:pPr>
        <w:pStyle w:val="ListParagraph"/>
        <w:spacing w:before="0" w:after="0" w:line="240" w:lineRule="auto"/>
        <w:ind w:left="0"/>
        <w:jc w:val="both"/>
        <w:rPr>
          <w:rFonts w:ascii="Cambria" w:hAnsi="Cambria"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w:t>
      </w:r>
      <w:r w:rsidR="00411ABC">
        <w:rPr>
          <w:rFonts w:ascii="Cambria" w:hAnsi="Cambria" w:cs="Times New Roman"/>
          <w:color w:val="000000"/>
          <w:sz w:val="24"/>
          <w:szCs w:val="24"/>
        </w:rPr>
        <w:t>rmanski, sukcesivno po fakturama.</w:t>
      </w: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Pr="007D32C6" w:rsidRDefault="00492067" w:rsidP="00411ABC">
      <w:pPr>
        <w:pStyle w:val="ListParagraph"/>
        <w:spacing w:before="0" w:after="0" w:line="240" w:lineRule="auto"/>
        <w:ind w:left="0"/>
        <w:jc w:val="both"/>
        <w:rPr>
          <w:rFonts w:asciiTheme="majorHAnsi" w:hAnsiTheme="majorHAnsi" w:cs="Times New Roman"/>
          <w:color w:val="000000"/>
          <w:sz w:val="24"/>
          <w:szCs w:val="24"/>
        </w:rPr>
      </w:pP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411ABC" w:rsidRDefault="00411ABC" w:rsidP="00794548">
      <w:pPr>
        <w:rPr>
          <w:rFonts w:asciiTheme="majorHAnsi" w:hAnsiTheme="majorHAnsi"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492067" w:rsidRPr="00492067" w:rsidTr="00F11A4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 xml:space="preserve">Opis predmeta nabavke, </w:t>
            </w:r>
          </w:p>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492067" w:rsidRPr="00492067" w:rsidRDefault="00492067"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 xml:space="preserve">Količina </w:t>
            </w:r>
          </w:p>
        </w:tc>
      </w:tr>
      <w:tr w:rsidR="00492067" w:rsidRPr="00492067" w:rsidTr="00F11A44">
        <w:trPr>
          <w:trHeight w:val="350"/>
        </w:trPr>
        <w:tc>
          <w:tcPr>
            <w:tcW w:w="807" w:type="dxa"/>
            <w:tcBorders>
              <w:top w:val="nil"/>
              <w:left w:val="single" w:sz="8" w:space="0" w:color="auto"/>
              <w:bottom w:val="single" w:sz="8" w:space="0" w:color="auto"/>
              <w:right w:val="single" w:sz="8" w:space="0" w:color="auto"/>
            </w:tcBorders>
            <w:vAlign w:val="center"/>
          </w:tcPr>
          <w:p w:rsidR="00492067" w:rsidRPr="00492067" w:rsidRDefault="00492067" w:rsidP="00492067">
            <w:pPr>
              <w:spacing w:after="0" w:line="240" w:lineRule="auto"/>
              <w:jc w:val="center"/>
              <w:rPr>
                <w:rFonts w:ascii="Cambria" w:hAnsi="Cambria" w:cs="Times New Roman"/>
                <w:color w:val="000000"/>
                <w:sz w:val="24"/>
                <w:szCs w:val="24"/>
                <w:lang w:val="sr-Latn-CS" w:eastAsia="sr-Latn-CS"/>
              </w:rPr>
            </w:pPr>
            <w:r w:rsidRPr="00492067">
              <w:rPr>
                <w:rFonts w:ascii="Cambria" w:hAnsi="Cambria"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492067" w:rsidRPr="00492067" w:rsidRDefault="00492067" w:rsidP="00492067">
            <w:pPr>
              <w:spacing w:after="0"/>
              <w:jc w:val="center"/>
              <w:rPr>
                <w:rFonts w:ascii="Cambria" w:hAnsi="Cambria" w:cs="Times New Roman"/>
                <w:sz w:val="24"/>
                <w:szCs w:val="24"/>
                <w:lang w:val="sr-Latn-CS"/>
              </w:rPr>
            </w:pPr>
          </w:p>
          <w:p w:rsidR="00492067" w:rsidRPr="00492067" w:rsidRDefault="00492067" w:rsidP="00492067">
            <w:pPr>
              <w:spacing w:after="0"/>
              <w:jc w:val="center"/>
              <w:rPr>
                <w:rFonts w:ascii="Cambria" w:hAnsi="Cambria" w:cs="Times New Roman"/>
                <w:sz w:val="24"/>
                <w:szCs w:val="24"/>
                <w:lang w:val="sr-Latn-CS"/>
              </w:rPr>
            </w:pPr>
            <w:r w:rsidRPr="00492067">
              <w:rPr>
                <w:rFonts w:ascii="Cambria" w:hAnsi="Cambria" w:cs="Times New Roman"/>
                <w:sz w:val="24"/>
                <w:szCs w:val="24"/>
                <w:lang w:val="sr-Latn-CS"/>
              </w:rPr>
              <w:t>Dizel gorivo</w:t>
            </w:r>
          </w:p>
        </w:tc>
        <w:tc>
          <w:tcPr>
            <w:tcW w:w="2552" w:type="dxa"/>
            <w:tcBorders>
              <w:top w:val="single" w:sz="4" w:space="0" w:color="auto"/>
              <w:left w:val="single" w:sz="4" w:space="0" w:color="auto"/>
              <w:bottom w:val="single" w:sz="4" w:space="0" w:color="auto"/>
              <w:right w:val="single" w:sz="4" w:space="0" w:color="auto"/>
            </w:tcBorders>
          </w:tcPr>
          <w:p w:rsidR="00492067" w:rsidRPr="00492067" w:rsidRDefault="00492067" w:rsidP="00492067">
            <w:pPr>
              <w:spacing w:after="0" w:line="240" w:lineRule="auto"/>
              <w:jc w:val="center"/>
              <w:rPr>
                <w:rFonts w:ascii="Cambria" w:hAnsi="Cambria" w:cs="Times New Roman"/>
                <w:color w:val="000000"/>
                <w:sz w:val="24"/>
                <w:szCs w:val="24"/>
                <w:lang w:val="sr-Latn-CS" w:eastAsia="sr-Latn-CS"/>
              </w:rPr>
            </w:pPr>
          </w:p>
          <w:p w:rsidR="00492067" w:rsidRPr="00492067" w:rsidRDefault="00492067" w:rsidP="00492067">
            <w:pPr>
              <w:spacing w:after="0" w:line="240" w:lineRule="auto"/>
              <w:jc w:val="center"/>
              <w:rPr>
                <w:rFonts w:ascii="Cambria" w:hAnsi="Cambria" w:cs="Times New Roman"/>
                <w:color w:val="000000"/>
                <w:sz w:val="24"/>
                <w:szCs w:val="24"/>
                <w:lang w:val="sr-Latn-CS" w:eastAsia="sr-Latn-CS"/>
              </w:rPr>
            </w:pPr>
            <w:r w:rsidRPr="00492067">
              <w:rPr>
                <w:rFonts w:ascii="Cambria" w:hAnsi="Cambria" w:cs="Times New Roman"/>
                <w:color w:val="000000"/>
                <w:sz w:val="24"/>
                <w:szCs w:val="24"/>
                <w:lang w:val="sr-Latn-CS" w:eastAsia="sr-Latn-CS"/>
              </w:rPr>
              <w:t>Eurodizel</w:t>
            </w:r>
          </w:p>
        </w:tc>
        <w:tc>
          <w:tcPr>
            <w:tcW w:w="1232" w:type="dxa"/>
            <w:tcBorders>
              <w:top w:val="single" w:sz="4" w:space="0" w:color="auto"/>
              <w:left w:val="single" w:sz="4" w:space="0" w:color="auto"/>
              <w:bottom w:val="single" w:sz="4" w:space="0" w:color="auto"/>
              <w:right w:val="single" w:sz="4" w:space="0" w:color="auto"/>
            </w:tcBorders>
            <w:vAlign w:val="center"/>
          </w:tcPr>
          <w:p w:rsidR="00492067" w:rsidRPr="00492067" w:rsidRDefault="00492067" w:rsidP="00492067">
            <w:pPr>
              <w:spacing w:after="0"/>
              <w:jc w:val="center"/>
              <w:rPr>
                <w:rFonts w:ascii="Cambria" w:hAnsi="Cambria" w:cs="Times New Roman"/>
                <w:lang w:val="sr-Latn-CS"/>
              </w:rPr>
            </w:pPr>
          </w:p>
          <w:p w:rsidR="00492067" w:rsidRPr="00492067" w:rsidRDefault="00492067" w:rsidP="00492067">
            <w:pPr>
              <w:spacing w:after="0"/>
              <w:jc w:val="center"/>
              <w:rPr>
                <w:rFonts w:ascii="Cambria" w:hAnsi="Cambria" w:cs="Times New Roman"/>
                <w:lang w:val="sr-Latn-CS"/>
              </w:rPr>
            </w:pPr>
            <w:r w:rsidRPr="00492067">
              <w:rPr>
                <w:rFonts w:ascii="Cambria" w:hAnsi="Cambria" w:cs="Times New Roman"/>
                <w:lang w:val="sr-Latn-CS"/>
              </w:rPr>
              <w:t>Litar</w:t>
            </w:r>
          </w:p>
        </w:tc>
        <w:tc>
          <w:tcPr>
            <w:tcW w:w="1246" w:type="dxa"/>
            <w:tcBorders>
              <w:top w:val="nil"/>
              <w:left w:val="single" w:sz="4" w:space="0" w:color="auto"/>
              <w:bottom w:val="single" w:sz="8" w:space="0" w:color="auto"/>
              <w:right w:val="single" w:sz="8" w:space="0" w:color="auto"/>
            </w:tcBorders>
            <w:vAlign w:val="center"/>
          </w:tcPr>
          <w:p w:rsidR="00492067" w:rsidRPr="00492067" w:rsidRDefault="00492067" w:rsidP="00492067">
            <w:pPr>
              <w:spacing w:after="0"/>
              <w:jc w:val="center"/>
              <w:rPr>
                <w:rFonts w:ascii="Cambria" w:hAnsi="Cambria" w:cs="Times New Roman"/>
                <w:lang w:val="sr-Latn-CS"/>
              </w:rPr>
            </w:pPr>
            <w:r w:rsidRPr="00492067">
              <w:rPr>
                <w:rFonts w:ascii="Cambria" w:hAnsi="Cambria" w:cs="Times New Roman"/>
                <w:lang w:val="sr-Latn-CS"/>
              </w:rPr>
              <w:t>Po potrebi Naručioca</w:t>
            </w:r>
          </w:p>
        </w:tc>
      </w:tr>
    </w:tbl>
    <w:p w:rsidR="00411ABC" w:rsidRDefault="00411ABC" w:rsidP="00794548">
      <w:pPr>
        <w:rPr>
          <w:rFonts w:asciiTheme="majorHAnsi" w:hAnsiTheme="majorHAnsi" w:cs="Times New Roman"/>
          <w:color w:val="000000"/>
          <w:sz w:val="24"/>
          <w:szCs w:val="24"/>
        </w:rPr>
      </w:pPr>
    </w:p>
    <w:p w:rsidR="00492067" w:rsidRPr="00492067" w:rsidRDefault="00492067" w:rsidP="00492067">
      <w:pPr>
        <w:rPr>
          <w:rFonts w:ascii="Cambria" w:hAnsi="Cambria" w:cs="Times New Roman"/>
          <w:b/>
          <w:color w:val="000000"/>
          <w:sz w:val="24"/>
          <w:szCs w:val="24"/>
        </w:rPr>
      </w:pPr>
      <w:r w:rsidRPr="00492067">
        <w:rPr>
          <w:rFonts w:ascii="Cambria" w:hAnsi="Cambria" w:cs="Times New Roman"/>
          <w:b/>
          <w:color w:val="000000"/>
          <w:sz w:val="24"/>
          <w:szCs w:val="24"/>
        </w:rPr>
        <w:t>Napomena:</w:t>
      </w:r>
    </w:p>
    <w:p w:rsidR="00492067" w:rsidRPr="00492067" w:rsidRDefault="00492067" w:rsidP="00492067">
      <w:pPr>
        <w:jc w:val="both"/>
        <w:rPr>
          <w:rFonts w:ascii="Times New Roman" w:hAnsi="Times New Roman" w:cs="Times New Roman"/>
          <w:color w:val="000000"/>
          <w:sz w:val="24"/>
          <w:szCs w:val="24"/>
        </w:rPr>
      </w:pPr>
      <w:r w:rsidRPr="00492067">
        <w:rPr>
          <w:rFonts w:ascii="Times New Roman" w:hAnsi="Times New Roman" w:cs="Times New Roman"/>
          <w:color w:val="000000"/>
          <w:sz w:val="24"/>
          <w:szCs w:val="24"/>
        </w:rPr>
        <w:t>S obzirom da Uredba o načinu obrazovanja maksimalnih maloprodajnih cijena naftnih derivata (“Sl.list RCG”, br. 52/02, 55/02, 23/03, 32/05, 35/05 i “Sl.list CG”, br. 73/08 i 73/10) propisuje da se maksimalne cijene goriva u Crnoj Gori usklađuju  svakog drugog ponedeljka u zavisnosti od promjene cijene naftnih derivata na međunarodnom tržištu (Maditerranean Platt’s Ground) i valutnog odnosa eura i američkog dolara, od ponuđača se zahtijeva cijena po litru.  Nabavka će se vršiti do postizanja procijenjene odnosno ugovorene vrijednosti.</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Nabav</w:t>
      </w:r>
      <w:r>
        <w:rPr>
          <w:rFonts w:ascii="Cambria" w:hAnsi="Cambria" w:cs="Times New Roman"/>
          <w:color w:val="000000"/>
          <w:sz w:val="24"/>
          <w:szCs w:val="24"/>
        </w:rPr>
        <w:t>ka i sukcesivna isporuka goriva</w:t>
      </w:r>
      <w:r w:rsidRPr="00492067">
        <w:rPr>
          <w:rFonts w:ascii="Cambria" w:hAnsi="Cambria" w:cs="Times New Roman"/>
          <w:color w:val="000000"/>
          <w:sz w:val="24"/>
          <w:szCs w:val="24"/>
        </w:rPr>
        <w:t>–eurodizela za službena vozila će se vršiti u količinama, koje će zavisno od svojih potreba imati Naručilac do iznosa procijenjene vrijednosti predmetne javne nabavke.</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Ponuđači treba da posjeduju benzinske stanice u Podgorici, Cetinju, Nikšiću, Beranama, Bijelom Polju, Pljevljima, Budvi, Baru, Ulcinju i Herceg Novom.</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Obaveza prvorangiranog ponuđača (Dobavljača) će biti da za potrebe Naručioca izradi kartice za točenje goriva za službena vozila (dva), koje će biti vezane za registarske tablice vozila. Troškovi izrade kartica padaju na teret Dobavljača.</w:t>
      </w:r>
    </w:p>
    <w:p w:rsidR="00492067" w:rsidRPr="00492067" w:rsidRDefault="00492067" w:rsidP="00492067">
      <w:pPr>
        <w:jc w:val="both"/>
        <w:rPr>
          <w:rFonts w:ascii="Cambria" w:hAnsi="Cambria" w:cs="Times New Roman"/>
          <w:color w:val="000000"/>
          <w:sz w:val="24"/>
          <w:szCs w:val="24"/>
        </w:rPr>
      </w:pPr>
      <w:r w:rsidRPr="00492067">
        <w:rPr>
          <w:rFonts w:ascii="Cambria" w:hAnsi="Cambria" w:cs="Times New Roman"/>
          <w:color w:val="000000"/>
          <w:sz w:val="24"/>
          <w:szCs w:val="24"/>
        </w:rPr>
        <w:t>Obaveza Dobavljača će biti da podnosi jednomjesečni izvještaj sa pregledom potrošnje goriva, za svaku karticu tj. vozilo u koje će biti točeno gorivo.</w:t>
      </w: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Pr="007D32C6" w:rsidRDefault="00411ABC"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6"/>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0A3E80">
        <w:rPr>
          <w:rFonts w:asciiTheme="majorHAnsi" w:hAnsiTheme="majorHAnsi" w:cs="Times New Roman"/>
          <w:color w:val="000000"/>
          <w:sz w:val="24"/>
          <w:szCs w:val="24"/>
          <w:lang w:val="pl-PL"/>
        </w:rPr>
        <w:t>249/2-18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492067">
        <w:rPr>
          <w:rFonts w:asciiTheme="majorHAnsi" w:hAnsiTheme="majorHAnsi" w:cs="Times New Roman"/>
          <w:color w:val="000000"/>
          <w:sz w:val="24"/>
          <w:szCs w:val="24"/>
          <w:lang w:val="pl-PL"/>
        </w:rPr>
        <w:t>28. 03</w:t>
      </w:r>
      <w:r w:rsidR="00BF4E69">
        <w:rPr>
          <w:rFonts w:asciiTheme="majorHAnsi" w:hAnsiTheme="majorHAnsi" w:cs="Times New Roman"/>
          <w:color w:val="000000"/>
          <w:sz w:val="24"/>
          <w:szCs w:val="24"/>
          <w:lang w:val="pl-PL"/>
        </w:rPr>
        <w:t>. 2018.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A24AC6" w:rsidRPr="00A24AC6">
        <w:rPr>
          <w:rFonts w:asciiTheme="majorHAnsi" w:hAnsiTheme="majorHAnsi" w:cs="Times New Roman"/>
          <w:color w:val="000000"/>
          <w:sz w:val="24"/>
          <w:szCs w:val="24"/>
          <w:lang w:val="pl-PL"/>
        </w:rPr>
        <w:t>Branko Vujović,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Pr>
          <w:rFonts w:ascii="Cambria" w:hAnsi="Cambria" w:cs="Times New Roman"/>
          <w:color w:val="000000"/>
          <w:sz w:val="24"/>
          <w:szCs w:val="24"/>
          <w:lang w:val="pl-PL"/>
        </w:rPr>
        <w:t>01-18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2-18 od 22</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01</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2018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Branko Vujović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0A3E80" w:rsidRDefault="000A3E80"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0"/>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7D32C6">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0A3E80">
        <w:rPr>
          <w:rFonts w:asciiTheme="majorHAnsi" w:hAnsiTheme="majorHAnsi" w:cs="Times New Roman"/>
          <w:color w:val="000000"/>
          <w:sz w:val="24"/>
          <w:szCs w:val="24"/>
          <w:lang w:val="pl-PL"/>
        </w:rPr>
        <w:t>249/3-18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492067">
        <w:rPr>
          <w:rFonts w:asciiTheme="majorHAnsi" w:hAnsiTheme="majorHAnsi" w:cs="Times New Roman"/>
          <w:color w:val="000000"/>
          <w:sz w:val="24"/>
          <w:szCs w:val="24"/>
          <w:lang w:val="pl-PL"/>
        </w:rPr>
        <w:t>Podgorica, 28. 03</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r w:rsidRPr="00DE3EFF">
        <w:rPr>
          <w:rFonts w:ascii="Cambria" w:hAnsi="Cambria" w:cs="Times New Roman"/>
          <w:color w:val="000000"/>
          <w:sz w:val="24"/>
          <w:szCs w:val="24"/>
        </w:rPr>
        <w:t>da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01-</w:t>
      </w:r>
      <w:r>
        <w:rPr>
          <w:rFonts w:ascii="Cambria" w:hAnsi="Cambria" w:cs="Times New Roman"/>
          <w:color w:val="000000"/>
          <w:sz w:val="24"/>
          <w:szCs w:val="24"/>
        </w:rPr>
        <w:t>18</w:t>
      </w:r>
      <w:r w:rsidRPr="00DE3EFF">
        <w:rPr>
          <w:rFonts w:ascii="Cambria" w:hAnsi="Cambria" w:cs="Times New Roman"/>
          <w:color w:val="000000"/>
          <w:sz w:val="24"/>
          <w:szCs w:val="24"/>
        </w:rPr>
        <w:t>/</w:t>
      </w:r>
      <w:r>
        <w:rPr>
          <w:rFonts w:ascii="Cambria" w:hAnsi="Cambria" w:cs="Times New Roman"/>
          <w:color w:val="000000"/>
          <w:sz w:val="24"/>
          <w:szCs w:val="24"/>
        </w:rPr>
        <w:t>2-18 od 22</w:t>
      </w:r>
      <w:r w:rsidRPr="00DE3EFF">
        <w:rPr>
          <w:rFonts w:ascii="Cambria" w:hAnsi="Cambria" w:cs="Times New Roman"/>
          <w:color w:val="000000"/>
          <w:sz w:val="24"/>
          <w:szCs w:val="24"/>
        </w:rPr>
        <w:t>. 01.</w:t>
      </w:r>
      <w:r>
        <w:rPr>
          <w:rFonts w:ascii="Cambria" w:hAnsi="Cambria" w:cs="Times New Roman"/>
          <w:color w:val="000000"/>
          <w:sz w:val="24"/>
          <w:szCs w:val="24"/>
        </w:rPr>
        <w:t xml:space="preserve"> 2018</w:t>
      </w:r>
      <w:r w:rsidRPr="00DE3EFF">
        <w:rPr>
          <w:rFonts w:ascii="Cambria" w:hAnsi="Cambria" w:cs="Times New Roman"/>
          <w:color w:val="000000"/>
          <w:sz w:val="24"/>
          <w:szCs w:val="24"/>
        </w:rPr>
        <w:t xml:space="preserve">. </w:t>
      </w:r>
      <w:proofErr w:type="gramStart"/>
      <w:r w:rsidRPr="00DE3EFF">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roba – </w:t>
      </w:r>
      <w:r w:rsidR="00492067">
        <w:rPr>
          <w:rFonts w:ascii="Cambria" w:hAnsi="Cambria" w:cs="Times New Roman"/>
          <w:color w:val="000000"/>
          <w:sz w:val="24"/>
          <w:szCs w:val="24"/>
        </w:rPr>
        <w:t>goriva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Branko Vujović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mr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8"/>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67358E">
        <w:rPr>
          <w:rFonts w:asciiTheme="majorHAnsi" w:hAnsiTheme="majorHAnsi" w:cs="Times New Roman"/>
          <w:color w:val="000000"/>
          <w:sz w:val="24"/>
          <w:szCs w:val="24"/>
          <w:lang w:val="pl-PL"/>
        </w:rPr>
        <w:t>249/4-18</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492067">
        <w:rPr>
          <w:rFonts w:asciiTheme="majorHAnsi" w:hAnsiTheme="majorHAnsi" w:cs="Times New Roman"/>
          <w:color w:val="000000"/>
          <w:sz w:val="24"/>
          <w:szCs w:val="24"/>
          <w:lang w:val="pl-PL"/>
        </w:rPr>
        <w:t>28. 03</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da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DE3EFF" w:rsidRPr="00DE3EFF">
        <w:rPr>
          <w:rFonts w:ascii="Cambria" w:hAnsi="Cambria" w:cs="Times New Roman"/>
          <w:color w:val="000000"/>
          <w:sz w:val="24"/>
          <w:szCs w:val="24"/>
        </w:rPr>
        <w:t>01-</w:t>
      </w:r>
      <w:r w:rsidR="00DE3EFF">
        <w:rPr>
          <w:rFonts w:ascii="Cambria" w:hAnsi="Cambria" w:cs="Times New Roman"/>
          <w:color w:val="000000"/>
          <w:sz w:val="24"/>
          <w:szCs w:val="24"/>
        </w:rPr>
        <w:t>18</w:t>
      </w:r>
      <w:r w:rsidR="00DE3EFF" w:rsidRPr="00DE3EFF">
        <w:rPr>
          <w:rFonts w:ascii="Cambria" w:hAnsi="Cambria" w:cs="Times New Roman"/>
          <w:color w:val="000000"/>
          <w:sz w:val="24"/>
          <w:szCs w:val="24"/>
        </w:rPr>
        <w:t>/</w:t>
      </w:r>
      <w:r w:rsidR="00DE3EFF">
        <w:rPr>
          <w:rFonts w:ascii="Cambria" w:hAnsi="Cambria" w:cs="Times New Roman"/>
          <w:color w:val="000000"/>
          <w:sz w:val="24"/>
          <w:szCs w:val="24"/>
        </w:rPr>
        <w:t>2-18 od 22</w:t>
      </w:r>
      <w:r w:rsidR="00DE3EFF" w:rsidRPr="00DE3EFF">
        <w:rPr>
          <w:rFonts w:ascii="Cambria" w:hAnsi="Cambria" w:cs="Times New Roman"/>
          <w:color w:val="000000"/>
          <w:sz w:val="24"/>
          <w:szCs w:val="24"/>
        </w:rPr>
        <w:t>. 01.</w:t>
      </w:r>
      <w:r w:rsidR="00DE3EFF">
        <w:rPr>
          <w:rFonts w:ascii="Cambria" w:hAnsi="Cambria" w:cs="Times New Roman"/>
          <w:color w:val="000000"/>
          <w:sz w:val="24"/>
          <w:szCs w:val="24"/>
        </w:rPr>
        <w:t xml:space="preserve"> 2018. </w:t>
      </w:r>
      <w:proofErr w:type="gramStart"/>
      <w:r w:rsidRPr="007D32C6">
        <w:rPr>
          <w:rFonts w:asciiTheme="majorHAnsi" w:hAnsiTheme="majorHAnsi" w:cs="Times New Roman"/>
          <w:color w:val="000000"/>
          <w:sz w:val="24"/>
          <w:szCs w:val="24"/>
        </w:rPr>
        <w:t>godine</w:t>
      </w:r>
      <w:proofErr w:type="gramEnd"/>
      <w:r w:rsidRPr="007D32C6">
        <w:rPr>
          <w:rFonts w:asciiTheme="majorHAnsi" w:hAnsiTheme="majorHAnsi" w:cs="Times New Roman"/>
          <w:color w:val="000000"/>
          <w:sz w:val="24"/>
          <w:szCs w:val="24"/>
        </w:rPr>
        <w:t xml:space="preserve"> za </w:t>
      </w:r>
      <w:r w:rsidR="00546BA2">
        <w:rPr>
          <w:rFonts w:asciiTheme="majorHAnsi" w:hAnsiTheme="majorHAnsi" w:cs="Times New Roman"/>
          <w:color w:val="000000"/>
          <w:sz w:val="24"/>
          <w:szCs w:val="24"/>
        </w:rPr>
        <w:t>nabavku</w:t>
      </w:r>
      <w:r w:rsidR="00F9713F">
        <w:rPr>
          <w:rFonts w:asciiTheme="majorHAnsi" w:hAnsiTheme="majorHAnsi" w:cs="Times New Roman"/>
          <w:color w:val="000000"/>
          <w:sz w:val="24"/>
          <w:szCs w:val="24"/>
        </w:rPr>
        <w:t xml:space="preserve"> roba-</w:t>
      </w:r>
      <w:r w:rsidR="00546BA2" w:rsidRPr="00546BA2">
        <w:t xml:space="preserve"> </w:t>
      </w:r>
      <w:r w:rsidR="00492067">
        <w:rPr>
          <w:rFonts w:ascii="Cambria" w:hAnsi="Cambria" w:cs="Times New Roman"/>
          <w:color w:val="000000"/>
          <w:sz w:val="24"/>
          <w:szCs w:val="24"/>
        </w:rPr>
        <w:t>goriva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546BA2" w:rsidRDefault="00546BA2" w:rsidP="00546BA2">
      <w:pPr>
        <w:spacing w:after="0" w:line="240" w:lineRule="auto"/>
        <w:jc w:val="center"/>
        <w:rPr>
          <w:rFonts w:ascii="Cambria" w:hAnsi="Cambria" w:cs="Times New Roman"/>
          <w:bCs/>
          <w:i/>
          <w:color w:val="000000"/>
          <w:sz w:val="24"/>
          <w:szCs w:val="24"/>
        </w:rPr>
      </w:pPr>
      <w:r>
        <w:rPr>
          <w:rFonts w:ascii="Cambria" w:hAnsi="Cambria" w:cs="Times New Roman"/>
          <w:color w:val="000000"/>
          <w:sz w:val="24"/>
          <w:szCs w:val="24"/>
        </w:rPr>
        <w:t xml:space="preserve">                                                                                                                             </w:t>
      </w:r>
      <w:r w:rsidR="00492067">
        <w:rPr>
          <w:rFonts w:ascii="Cambria" w:hAnsi="Cambria" w:cs="Times New Roman"/>
          <w:color w:val="000000"/>
          <w:sz w:val="24"/>
          <w:szCs w:val="24"/>
        </w:rPr>
        <w:t>Branko Barjaktarović</w:t>
      </w:r>
      <w:r w:rsidR="00F411E5">
        <w:rPr>
          <w:rFonts w:ascii="Cambria" w:hAnsi="Cambria" w:cs="Times New Roman"/>
          <w:bCs/>
          <w:i/>
          <w:color w:val="000000"/>
          <w:sz w:val="24"/>
          <w:szCs w:val="24"/>
        </w:rPr>
        <w:t xml:space="preserve">                                                                                                </w:t>
      </w:r>
      <w:r>
        <w:rPr>
          <w:rFonts w:ascii="Cambria" w:hAnsi="Cambria" w:cs="Times New Roman"/>
          <w:bCs/>
          <w:i/>
          <w:color w:val="000000"/>
          <w:sz w:val="24"/>
          <w:szCs w:val="24"/>
        </w:rPr>
        <w:t xml:space="preserve">                           </w:t>
      </w:r>
    </w:p>
    <w:p w:rsidR="00DE3EFF" w:rsidRPr="00DE3EFF" w:rsidRDefault="00546BA2" w:rsidP="00546BA2">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9" w:name="_Toc506294882"/>
      <w:r w:rsidRPr="007D32C6">
        <w:rPr>
          <w:rFonts w:asciiTheme="majorHAnsi" w:hAnsiTheme="majorHAnsi"/>
          <w:i w:val="0"/>
          <w:iCs w:val="0"/>
          <w:color w:val="000000"/>
          <w:sz w:val="24"/>
          <w:szCs w:val="24"/>
          <w:u w:val="none"/>
        </w:rPr>
        <w:lastRenderedPageBreak/>
        <w:t>METODOLOGIJA NAČINA VREDNOVANJA PONUDA PO KRITERIJUMU I PODKRITERIJUMIMA</w:t>
      </w:r>
      <w:bookmarkEnd w:id="9"/>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0,00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0" w:name="_Toc506294883"/>
      <w:r w:rsidRPr="007D32C6">
        <w:rPr>
          <w:rFonts w:asciiTheme="majorHAnsi" w:hAnsiTheme="majorHAnsi"/>
          <w:i w:val="0"/>
          <w:iCs w:val="0"/>
          <w:color w:val="000000"/>
          <w:sz w:val="24"/>
          <w:szCs w:val="24"/>
          <w:u w:val="none"/>
        </w:rPr>
        <w:t>OBRAZAC PONUDE SA OBRASCIMA KOJE PRIPREMA PONUĐAČ</w:t>
      </w:r>
      <w:bookmarkEnd w:id="10"/>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6294884"/>
      <w:r w:rsidRPr="007D32C6">
        <w:rPr>
          <w:rFonts w:asciiTheme="majorHAnsi" w:hAnsiTheme="majorHAnsi" w:cs="Times New Roman"/>
          <w:b/>
          <w:bCs/>
          <w:color w:val="000000"/>
          <w:sz w:val="24"/>
          <w:szCs w:val="24"/>
          <w:lang w:eastAsia="zh-TW"/>
        </w:rPr>
        <w:lastRenderedPageBreak/>
        <w:t>NASLOVNA STRANA PONUDE</w:t>
      </w:r>
      <w:bookmarkEnd w:id="11"/>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podnosi</w:t>
      </w:r>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po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za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r w:rsidRPr="007D32C6">
        <w:rPr>
          <w:rFonts w:asciiTheme="majorHAnsi" w:hAnsiTheme="majorHAnsi" w:cs="Times New Roman"/>
          <w:i/>
          <w:iCs/>
          <w:color w:val="000000"/>
          <w:sz w:val="24"/>
          <w:szCs w:val="24"/>
        </w:rPr>
        <w:t>opis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2" w:name="_Toc506294885"/>
      <w:r w:rsidRPr="007D32C6">
        <w:rPr>
          <w:rFonts w:asciiTheme="majorHAnsi" w:hAnsiTheme="majorHAnsi"/>
          <w:i w:val="0"/>
          <w:iCs w:val="0"/>
          <w:sz w:val="24"/>
          <w:szCs w:val="24"/>
          <w:u w:val="none"/>
        </w:rPr>
        <w:lastRenderedPageBreak/>
        <w:t>SADRŽAJ PONUDE</w:t>
      </w:r>
      <w:bookmarkEnd w:id="12"/>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Pr="0053058A" w:rsidRDefault="0053058A" w:rsidP="0053058A">
      <w:pPr>
        <w:pStyle w:val="ListParagraph"/>
        <w:numPr>
          <w:ilvl w:val="0"/>
          <w:numId w:val="1"/>
        </w:numPr>
        <w:spacing w:line="480" w:lineRule="auto"/>
        <w:rPr>
          <w:rFonts w:asciiTheme="majorHAnsi" w:hAnsiTheme="majorHAnsi" w:cs="Times New Roman"/>
          <w:color w:val="000000"/>
          <w:sz w:val="24"/>
          <w:szCs w:val="24"/>
        </w:rPr>
      </w:pPr>
      <w:r w:rsidRPr="0053058A">
        <w:rPr>
          <w:rFonts w:asciiTheme="majorHAnsi" w:hAnsiTheme="majorHAnsi" w:cs="Times New Roman"/>
          <w:color w:val="000000"/>
          <w:sz w:val="24"/>
          <w:szCs w:val="24"/>
        </w:rPr>
        <w:t>Izjava o namjeri i predmetu podugovaranja</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5E3E9F" w:rsidRDefault="005E3E9F" w:rsidP="00794548">
      <w:pPr>
        <w:rPr>
          <w:rFonts w:asciiTheme="majorHAnsi" w:hAnsiTheme="majorHAnsi" w:cs="Times New Roman"/>
          <w:sz w:val="24"/>
          <w:szCs w:val="24"/>
        </w:rPr>
      </w:pPr>
    </w:p>
    <w:p w:rsidR="00F9713F" w:rsidRPr="007D32C6" w:rsidRDefault="00F9713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6"/>
      <w:r w:rsidRPr="007D32C6">
        <w:rPr>
          <w:rFonts w:asciiTheme="majorHAnsi" w:hAnsiTheme="majorHAnsi" w:cs="Times New Roman"/>
          <w:color w:val="000000"/>
          <w:sz w:val="24"/>
          <w:szCs w:val="24"/>
        </w:rPr>
        <w:lastRenderedPageBreak/>
        <w:t>PODACI O PONUDI I PONUĐAČU</w:t>
      </w:r>
      <w:bookmarkEnd w:id="13"/>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 sa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8A26A3">
          <w:headerReference w:type="default" r:id="rId12"/>
          <w:footerReference w:type="default" r:id="rId13"/>
          <w:pgSz w:w="11906" w:h="16838" w:code="9"/>
          <w:pgMar w:top="1276" w:right="1418" w:bottom="1418" w:left="1418" w:header="709" w:footer="709" w:gutter="0"/>
          <w:cols w:space="708"/>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6294887"/>
      <w:r w:rsidRPr="007D32C6">
        <w:rPr>
          <w:rFonts w:asciiTheme="majorHAnsi" w:hAnsiTheme="majorHAnsi" w:cs="Times New Roman"/>
          <w:color w:val="000000"/>
          <w:sz w:val="24"/>
          <w:szCs w:val="24"/>
        </w:rPr>
        <w:lastRenderedPageBreak/>
        <w:t>FINANSIJSKI DIO PONUDE</w:t>
      </w:r>
      <w:bookmarkEnd w:id="14"/>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5"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5"/>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A36D14" w:rsidRDefault="0053058A" w:rsidP="00A36D14">
      <w:pPr>
        <w:spacing w:after="0" w:line="240" w:lineRule="auto"/>
        <w:jc w:val="both"/>
        <w:rPr>
          <w:rFonts w:asciiTheme="majorHAnsi" w:hAnsiTheme="majorHAnsi" w:cs="Times New Roman"/>
          <w:color w:val="000000"/>
          <w:sz w:val="24"/>
          <w:szCs w:val="24"/>
          <w:lang w:val="sr-Latn-CS"/>
        </w:rPr>
      </w:pPr>
      <w:r w:rsidRPr="00A36D14">
        <w:rPr>
          <w:rFonts w:asciiTheme="majorHAnsi" w:hAnsiTheme="majorHAnsi" w:cs="Times New Roman"/>
          <w:color w:val="000000"/>
          <w:sz w:val="24"/>
          <w:szCs w:val="24"/>
          <w:lang w:val="sr-Latn-CS"/>
        </w:rPr>
        <w:t>Dostaviti:</w:t>
      </w:r>
    </w:p>
    <w:p w:rsidR="0053058A" w:rsidRPr="00A36D14" w:rsidRDefault="0053058A" w:rsidP="00A36D14">
      <w:pPr>
        <w:spacing w:after="0" w:line="240" w:lineRule="auto"/>
        <w:jc w:val="both"/>
        <w:rPr>
          <w:rFonts w:asciiTheme="majorHAnsi" w:hAnsiTheme="majorHAnsi" w:cs="Times New Roman"/>
          <w:color w:val="000000"/>
          <w:sz w:val="24"/>
          <w:szCs w:val="24"/>
          <w:lang w:val="sl-SI"/>
        </w:rPr>
      </w:pPr>
    </w:p>
    <w:p w:rsidR="0053058A"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 o registraciji izdatog od organa nadležnog za registraciju privrednih subjekata sa podacima o ovlašćenim licima ponuđača;</w:t>
      </w:r>
    </w:p>
    <w:p w:rsidR="0053058A"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492067"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 xml:space="preserv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sidR="00492067" w:rsidRPr="00EA5446">
        <w:rPr>
          <w:rFonts w:asciiTheme="majorHAnsi" w:hAnsiTheme="majorHAnsi" w:cs="Times New Roman"/>
          <w:color w:val="000000"/>
          <w:sz w:val="24"/>
          <w:szCs w:val="24"/>
        </w:rPr>
        <w:t>novca i prevare;</w:t>
      </w:r>
    </w:p>
    <w:p w:rsidR="00492067" w:rsidRPr="00EA5446" w:rsidRDefault="00492067"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dokaza o posjedovanju važeće dozvole, licence, odobrenja, odnosno drugog akta izdatog od nadležnog organa i to:</w:t>
      </w:r>
    </w:p>
    <w:p w:rsidR="00492067" w:rsidRPr="00EA5446" w:rsidRDefault="00492067" w:rsidP="00EA5446">
      <w:pPr>
        <w:jc w:val="center"/>
        <w:rPr>
          <w:rFonts w:asciiTheme="majorHAnsi" w:hAnsiTheme="majorHAnsi" w:cs="Times New Roman"/>
          <w:b/>
          <w:color w:val="000000"/>
          <w:sz w:val="24"/>
          <w:szCs w:val="24"/>
        </w:rPr>
      </w:pPr>
      <w:r w:rsidRPr="00A36D14">
        <w:rPr>
          <w:rFonts w:asciiTheme="majorHAnsi" w:hAnsiTheme="majorHAnsi" w:cs="Times New Roman"/>
          <w:color w:val="000000"/>
          <w:sz w:val="24"/>
          <w:szCs w:val="24"/>
        </w:rPr>
        <w:t xml:space="preserve">- </w:t>
      </w:r>
      <w:r w:rsidRPr="00EA5446">
        <w:rPr>
          <w:rFonts w:asciiTheme="majorHAnsi" w:hAnsiTheme="majorHAnsi" w:cs="Times New Roman"/>
          <w:b/>
          <w:color w:val="000000"/>
          <w:sz w:val="24"/>
          <w:szCs w:val="24"/>
        </w:rPr>
        <w:t>Licencu za trgovinu na malo naftnim derivatima;</w:t>
      </w:r>
    </w:p>
    <w:p w:rsidR="00492067" w:rsidRPr="00EA5446" w:rsidRDefault="00492067" w:rsidP="00EA5446">
      <w:pPr>
        <w:jc w:val="center"/>
        <w:rPr>
          <w:rFonts w:asciiTheme="majorHAnsi" w:hAnsiTheme="majorHAnsi" w:cs="Times New Roman"/>
          <w:b/>
          <w:color w:val="000000"/>
          <w:sz w:val="24"/>
          <w:szCs w:val="24"/>
        </w:rPr>
      </w:pPr>
      <w:r w:rsidRPr="00EA5446">
        <w:rPr>
          <w:rFonts w:asciiTheme="majorHAnsi" w:hAnsiTheme="majorHAnsi" w:cs="Times New Roman"/>
          <w:b/>
          <w:color w:val="000000"/>
          <w:sz w:val="24"/>
          <w:szCs w:val="24"/>
        </w:rPr>
        <w:t>- Licencu za skladištenje naftne i naftnih derivata.</w:t>
      </w:r>
    </w:p>
    <w:p w:rsidR="00492067" w:rsidRPr="00A36D14" w:rsidRDefault="00492067" w:rsidP="00A36D14">
      <w:pPr>
        <w:jc w:val="both"/>
        <w:rPr>
          <w:rFonts w:asciiTheme="majorHAnsi" w:hAnsiTheme="majorHAnsi" w:cs="Times New Roman"/>
          <w:color w:val="000000"/>
          <w:sz w:val="24"/>
          <w:szCs w:val="24"/>
        </w:rPr>
      </w:pPr>
      <w:r w:rsidRPr="00A36D14">
        <w:rPr>
          <w:rFonts w:asciiTheme="majorHAnsi" w:hAnsiTheme="majorHAnsi" w:cs="Times New Roman"/>
          <w:color w:val="000000"/>
          <w:sz w:val="24"/>
          <w:szCs w:val="24"/>
        </w:rPr>
        <w:t xml:space="preserve">Ponuđači kojima su izdate </w:t>
      </w:r>
      <w:proofErr w:type="gramStart"/>
      <w:r w:rsidRPr="00A36D14">
        <w:rPr>
          <w:rFonts w:asciiTheme="majorHAnsi" w:hAnsiTheme="majorHAnsi" w:cs="Times New Roman"/>
          <w:color w:val="000000"/>
          <w:sz w:val="24"/>
          <w:szCs w:val="24"/>
        </w:rPr>
        <w:t>licence  po</w:t>
      </w:r>
      <w:proofErr w:type="gramEnd"/>
      <w:r w:rsidRPr="00A36D14">
        <w:rPr>
          <w:rFonts w:asciiTheme="majorHAnsi" w:hAnsiTheme="majorHAnsi" w:cs="Times New Roman"/>
          <w:color w:val="000000"/>
          <w:sz w:val="24"/>
          <w:szCs w:val="24"/>
        </w:rPr>
        <w:t xml:space="preserve"> Zakonu o energetici koji je prestao da važi u </w:t>
      </w:r>
      <w:r w:rsidR="00A36D14">
        <w:rPr>
          <w:rFonts w:asciiTheme="majorHAnsi" w:hAnsiTheme="majorHAnsi" w:cs="Times New Roman"/>
          <w:color w:val="000000"/>
          <w:sz w:val="24"/>
          <w:szCs w:val="24"/>
        </w:rPr>
        <w:t xml:space="preserve">maju </w:t>
      </w:r>
      <w:r w:rsidRPr="00A36D14">
        <w:rPr>
          <w:rFonts w:asciiTheme="majorHAnsi" w:hAnsiTheme="majorHAnsi" w:cs="Times New Roman"/>
          <w:color w:val="000000"/>
          <w:sz w:val="24"/>
          <w:szCs w:val="24"/>
        </w:rPr>
        <w:t>2010. godine, a koje važe do isteka roka na koji su izdate, zavisno od djelatnosti koju obavljaju, treba da posjeduju sljedeće licence za gorivo i autogas:</w:t>
      </w:r>
    </w:p>
    <w:p w:rsidR="00492067" w:rsidRPr="00EA5446" w:rsidRDefault="00492067" w:rsidP="00EA5446">
      <w:pPr>
        <w:jc w:val="center"/>
        <w:rPr>
          <w:rFonts w:asciiTheme="majorHAnsi" w:hAnsiTheme="majorHAnsi" w:cs="Times New Roman"/>
          <w:b/>
          <w:color w:val="000000"/>
          <w:sz w:val="24"/>
          <w:szCs w:val="24"/>
        </w:rPr>
      </w:pPr>
      <w:r w:rsidRPr="00EA5446">
        <w:rPr>
          <w:rFonts w:asciiTheme="majorHAnsi" w:hAnsiTheme="majorHAnsi" w:cs="Times New Roman"/>
          <w:b/>
          <w:color w:val="000000"/>
          <w:sz w:val="24"/>
          <w:szCs w:val="24"/>
        </w:rPr>
        <w:t>- Licencu za prodaju i snabdijevanje naftnim derivatima;</w:t>
      </w:r>
    </w:p>
    <w:p w:rsidR="00492067" w:rsidRPr="00EA5446" w:rsidRDefault="00492067" w:rsidP="00EA5446">
      <w:pPr>
        <w:autoSpaceDE w:val="0"/>
        <w:autoSpaceDN w:val="0"/>
        <w:adjustRightInd w:val="0"/>
        <w:spacing w:after="0" w:line="240" w:lineRule="auto"/>
        <w:jc w:val="center"/>
        <w:rPr>
          <w:rFonts w:asciiTheme="majorHAnsi" w:hAnsiTheme="majorHAnsi" w:cs="Times New Roman"/>
          <w:b/>
          <w:color w:val="000000"/>
          <w:sz w:val="24"/>
          <w:szCs w:val="24"/>
        </w:rPr>
      </w:pPr>
      <w:r w:rsidRPr="00EA5446">
        <w:rPr>
          <w:rFonts w:asciiTheme="majorHAnsi" w:hAnsiTheme="majorHAnsi" w:cs="Times New Roman"/>
          <w:b/>
          <w:color w:val="000000"/>
          <w:sz w:val="24"/>
          <w:szCs w:val="24"/>
        </w:rPr>
        <w:t>- Licencu za skladištenje i distribuciju naftnih derivate.</w:t>
      </w:r>
    </w:p>
    <w:p w:rsidR="0053058A" w:rsidRPr="00EA5446" w:rsidRDefault="0053058A" w:rsidP="00EA5446">
      <w:pPr>
        <w:spacing w:after="0" w:line="240" w:lineRule="auto"/>
        <w:jc w:val="center"/>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E3E9F" w:rsidRDefault="005E3E9F" w:rsidP="00A36D14">
      <w:pPr>
        <w:rPr>
          <w:rFonts w:ascii="Times New Roman" w:hAnsi="Times New Roman" w:cs="Times New Roman"/>
          <w:color w:val="000000"/>
        </w:rPr>
      </w:pPr>
    </w:p>
    <w:p w:rsidR="00A36D14" w:rsidRDefault="00A36D14" w:rsidP="00A36D14">
      <w:pPr>
        <w:rPr>
          <w:rFonts w:ascii="Times New Roman" w:hAnsi="Times New Roman" w:cs="Times New Roman"/>
          <w:color w:val="000000"/>
        </w:rPr>
      </w:pPr>
    </w:p>
    <w:p w:rsidR="00895DA0" w:rsidRDefault="00895DA0" w:rsidP="005E3E9F">
      <w:pPr>
        <w:jc w:val="right"/>
        <w:rPr>
          <w:rFonts w:ascii="Times New Roman" w:hAnsi="Times New Roman" w:cs="Times New Roman"/>
          <w:color w:val="000000"/>
        </w:rPr>
      </w:pPr>
    </w:p>
    <w:p w:rsidR="00895DA0" w:rsidRDefault="00895DA0" w:rsidP="005E3E9F">
      <w:pPr>
        <w:jc w:val="right"/>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proofErr w:type="gramStart"/>
      <w:r w:rsidRPr="005E3E9F">
        <w:rPr>
          <w:rFonts w:ascii="Times New Roman" w:hAnsi="Times New Roman" w:cs="Times New Roman"/>
          <w:color w:val="000000"/>
        </w:rPr>
        <w:lastRenderedPageBreak/>
        <w:t>OBRAZAC  R4</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Default="005724C1" w:rsidP="00C06079">
      <w:pPr>
        <w:spacing w:after="0" w:line="240" w:lineRule="auto"/>
        <w:rPr>
          <w:rFonts w:asciiTheme="majorHAnsi" w:hAnsiTheme="majorHAnsi" w:cs="Times New Roman"/>
          <w:i/>
          <w:iCs/>
          <w:color w:val="000000"/>
          <w:sz w:val="24"/>
          <w:szCs w:val="24"/>
        </w:rPr>
      </w:pPr>
    </w:p>
    <w:p w:rsidR="00EA5446" w:rsidRDefault="00EA5446" w:rsidP="00C06079">
      <w:pPr>
        <w:spacing w:after="0" w:line="240" w:lineRule="auto"/>
        <w:rPr>
          <w:rFonts w:asciiTheme="majorHAnsi" w:hAnsiTheme="majorHAnsi" w:cs="Times New Roman"/>
          <w:i/>
          <w:iCs/>
          <w:color w:val="000000"/>
          <w:sz w:val="24"/>
          <w:szCs w:val="24"/>
        </w:rPr>
      </w:pPr>
    </w:p>
    <w:p w:rsidR="00EA5446" w:rsidRDefault="00EA5446" w:rsidP="00C06079">
      <w:pPr>
        <w:spacing w:after="0" w:line="240" w:lineRule="auto"/>
        <w:rPr>
          <w:rFonts w:asciiTheme="majorHAnsi" w:hAnsiTheme="majorHAnsi" w:cs="Times New Roman"/>
          <w:i/>
          <w:iCs/>
          <w:color w:val="000000"/>
          <w:sz w:val="24"/>
          <w:szCs w:val="24"/>
        </w:rPr>
      </w:pPr>
    </w:p>
    <w:p w:rsidR="00EA5446" w:rsidRPr="007D32C6" w:rsidRDefault="00EA5446" w:rsidP="00C06079">
      <w:pPr>
        <w:spacing w:after="0" w:line="240" w:lineRule="auto"/>
        <w:rPr>
          <w:rFonts w:asciiTheme="majorHAnsi" w:hAnsiTheme="majorHAnsi" w:cs="Times New Roman"/>
          <w:i/>
          <w:iCs/>
          <w:color w:val="000000"/>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7" w:name="_Toc506294890"/>
      <w:r w:rsidRPr="007D32C6">
        <w:rPr>
          <w:rFonts w:asciiTheme="majorHAnsi" w:hAnsiTheme="majorHAnsi"/>
          <w:i w:val="0"/>
          <w:iCs w:val="0"/>
          <w:sz w:val="24"/>
          <w:szCs w:val="24"/>
          <w:u w:val="none"/>
        </w:rPr>
        <w:t>NACRT UGOVORA O JAVNOJ NABAVCI</w:t>
      </w:r>
      <w:bookmarkEnd w:id="17"/>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sa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i</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______________________ sa sjedištem u ________________, ulica____________, Broj računa: ______________________, Naziv banke: ________________________, koga zastupa _____________, (u daljem tekstu:  Dobavljač).</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EA5446" w:rsidRPr="00EA5446" w:rsidRDefault="00EA5446" w:rsidP="00EA5446">
      <w:pPr>
        <w:spacing w:after="0" w:line="240" w:lineRule="auto"/>
        <w:jc w:val="center"/>
        <w:rPr>
          <w:rFonts w:ascii="Times New Roman" w:hAnsi="Times New Roman" w:cs="Times New Roman"/>
          <w:b/>
          <w:sz w:val="24"/>
          <w:szCs w:val="24"/>
          <w:lang w:val="sr-Latn-CS" w:eastAsia="en-CA"/>
        </w:rPr>
      </w:pPr>
    </w:p>
    <w:p w:rsidR="00EA5446" w:rsidRPr="00EA5446" w:rsidRDefault="00EA5446" w:rsidP="00EA5446">
      <w:pPr>
        <w:spacing w:after="0" w:line="240" w:lineRule="auto"/>
        <w:jc w:val="center"/>
        <w:rPr>
          <w:rFonts w:ascii="Times New Roman" w:hAnsi="Times New Roman" w:cs="Times New Roman"/>
          <w:b/>
          <w:sz w:val="24"/>
          <w:szCs w:val="24"/>
          <w:lang w:val="sr-Latn-CS" w:eastAsia="en-CA"/>
        </w:rPr>
      </w:pPr>
      <w:r w:rsidRPr="00EA5446">
        <w:rPr>
          <w:rFonts w:ascii="Times New Roman" w:hAnsi="Times New Roman" w:cs="Times New Roman"/>
          <w:b/>
          <w:sz w:val="24"/>
          <w:szCs w:val="24"/>
          <w:lang w:val="sr-Latn-CS" w:eastAsia="en-CA"/>
        </w:rPr>
        <w:t>Član 1.</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 xml:space="preserve">Predmet ovog Ugovora je snabdijevanje Naručioca derivatima nafte, po Ponudi br. ________ od _________. godine u ukupnoj vrijednosti do </w:t>
      </w:r>
      <w:r w:rsidRPr="00EA5446">
        <w:rPr>
          <w:rFonts w:ascii="Cambria" w:hAnsi="Cambria" w:cs="Times New Roman"/>
          <w:b/>
          <w:sz w:val="24"/>
          <w:szCs w:val="24"/>
          <w:lang w:val="sr-Latn-CS" w:eastAsia="en-CA"/>
        </w:rPr>
        <w:t xml:space="preserve">____________ </w:t>
      </w:r>
      <w:r w:rsidRPr="00EA5446">
        <w:rPr>
          <w:rFonts w:ascii="Cambria" w:hAnsi="Cambria" w:cs="Times New Roman"/>
          <w:sz w:val="24"/>
          <w:szCs w:val="24"/>
          <w:lang w:val="sr-Latn-CS" w:eastAsia="en-CA"/>
        </w:rPr>
        <w:t>EUR-a, kojima se Naručilac snabdijeva u maloprodaji, na benzinskim stanicama Dobavljača.</w:t>
      </w:r>
    </w:p>
    <w:p w:rsidR="00EA5446" w:rsidRPr="00EA5446" w:rsidRDefault="00EA5446" w:rsidP="00EA5446">
      <w:pPr>
        <w:spacing w:after="0"/>
        <w:jc w:val="both"/>
        <w:rPr>
          <w:rFonts w:ascii="Cambria" w:hAnsi="Cambria" w:cs="Times New Roman"/>
          <w:sz w:val="24"/>
          <w:szCs w:val="24"/>
          <w:lang w:val="sl-SI"/>
        </w:rPr>
      </w:pPr>
      <w:r w:rsidRPr="00EA5446">
        <w:rPr>
          <w:rFonts w:ascii="Cambria" w:hAnsi="Cambria" w:cs="Times New Roman"/>
          <w:sz w:val="24"/>
          <w:szCs w:val="24"/>
          <w:lang w:val="sl-SI"/>
        </w:rPr>
        <w:t>Dobavljač se obavezuje da obezbijedi uredno snabdijevanje službenih motornih vozila Naručioca derivatima nafte u toku radnog vremena benzinskih stanica.</w:t>
      </w:r>
    </w:p>
    <w:p w:rsidR="00EA5446" w:rsidRDefault="00EA5446" w:rsidP="00EA5446">
      <w:pPr>
        <w:spacing w:after="0"/>
        <w:rPr>
          <w:rFonts w:ascii="Cambria" w:hAnsi="Cambria" w:cs="Times New Roman"/>
          <w:sz w:val="24"/>
          <w:szCs w:val="24"/>
          <w:lang w:val="sr-Latn-CS" w:eastAsia="en-CA"/>
        </w:rPr>
      </w:pPr>
    </w:p>
    <w:p w:rsidR="002B1B22" w:rsidRPr="00EA5446" w:rsidRDefault="002B1B22" w:rsidP="00EA5446">
      <w:pPr>
        <w:spacing w:after="0"/>
        <w:rPr>
          <w:rFonts w:ascii="Cambria" w:hAnsi="Cambria" w:cs="Times New Roman"/>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2.</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Naručilac se obavezuje da će u toku trajanja ovog Ugovora nabavljati derivate isključivo na benzinskim stanicama Dobavljača.</w:t>
      </w:r>
    </w:p>
    <w:p w:rsidR="00EA5446" w:rsidRPr="00EA5446" w:rsidRDefault="00EA5446"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3.</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Dobavljač se obavezuje da će Naručiocu isporučiti robu koja ima kvalitet u skladu sa »Uredbom o graničnim vrijednostima sadržaja zagađujućih materija u tečnim gorivima naftnog porijekla« (Sl. List RCG br.39/10 i 43/10).</w:t>
      </w:r>
    </w:p>
    <w:p w:rsidR="00EA5446" w:rsidRPr="00EA5446" w:rsidRDefault="00EA5446"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4.</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Cijena za gorivo formira se na osnovu Uredbe o načinu obrazovanja maksimalnih maloprodajnih cijena naftnih derivata (Sl. List RCG br. 52/02, 55/02, 23/03, 32/05, 35/05, 73/08 i 73/10).</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Vrijednost preuzete robe obračunava se prema tekućim cijenama važećim na dan preuzimanja robe.</w:t>
      </w:r>
    </w:p>
    <w:p w:rsidR="00EA5446" w:rsidRPr="00EA5446" w:rsidRDefault="00EA5446" w:rsidP="00EA5446">
      <w:pPr>
        <w:spacing w:after="0"/>
        <w:jc w:val="both"/>
        <w:rPr>
          <w:rFonts w:ascii="Cambria" w:hAnsi="Cambria" w:cs="Times New Roman"/>
          <w:sz w:val="24"/>
          <w:szCs w:val="24"/>
          <w:lang w:val="sl-SI"/>
        </w:rPr>
      </w:pPr>
      <w:r w:rsidRPr="00EA5446">
        <w:rPr>
          <w:rFonts w:ascii="Cambria" w:hAnsi="Cambria" w:cs="Times New Roman"/>
          <w:sz w:val="24"/>
          <w:szCs w:val="24"/>
          <w:lang w:val="sl-SI"/>
        </w:rPr>
        <w:t>Naručilac će uplate vršiti na žiro računa Dobavljača _____________________kod ______________banke.</w:t>
      </w:r>
    </w:p>
    <w:p w:rsidR="00EA5446" w:rsidRPr="00EA5446" w:rsidRDefault="00EA5446" w:rsidP="00EA5446">
      <w:pPr>
        <w:spacing w:after="0"/>
        <w:rPr>
          <w:rFonts w:ascii="Cambria" w:hAnsi="Cambria" w:cs="Times New Roman"/>
          <w:sz w:val="24"/>
          <w:szCs w:val="24"/>
          <w:lang w:val="sl-SI"/>
        </w:rPr>
      </w:pPr>
    </w:p>
    <w:p w:rsidR="00EA5446" w:rsidRPr="00EA5446" w:rsidRDefault="00EA5446" w:rsidP="00EA5446">
      <w:pPr>
        <w:spacing w:after="0"/>
        <w:jc w:val="center"/>
        <w:rPr>
          <w:rFonts w:ascii="Cambria" w:hAnsi="Cambria" w:cs="Times New Roman"/>
          <w:b/>
          <w:sz w:val="24"/>
          <w:szCs w:val="24"/>
          <w:lang w:val="sl-SI"/>
        </w:rPr>
      </w:pPr>
      <w:r w:rsidRPr="00EA5446">
        <w:rPr>
          <w:rFonts w:ascii="Cambria" w:hAnsi="Cambria" w:cs="Times New Roman"/>
          <w:b/>
          <w:sz w:val="24"/>
          <w:szCs w:val="24"/>
          <w:lang w:val="sl-SI"/>
        </w:rPr>
        <w:t>Član 5.</w:t>
      </w:r>
    </w:p>
    <w:p w:rsidR="00EA5446" w:rsidRPr="00EA5446" w:rsidRDefault="00EA5446" w:rsidP="00EA5446">
      <w:pPr>
        <w:jc w:val="both"/>
        <w:rPr>
          <w:rFonts w:ascii="Cambria" w:eastAsia="Arial Unicode MS" w:hAnsi="Cambria" w:cs="Times New Roman"/>
          <w:color w:val="000000"/>
          <w:sz w:val="24"/>
          <w:szCs w:val="24"/>
        </w:rPr>
      </w:pPr>
      <w:r w:rsidRPr="00EA5446">
        <w:rPr>
          <w:rFonts w:ascii="Cambria" w:eastAsia="Arial Unicode MS" w:hAnsi="Cambria" w:cs="Times New Roman"/>
          <w:color w:val="000000"/>
          <w:sz w:val="24"/>
          <w:szCs w:val="24"/>
        </w:rPr>
        <w:lastRenderedPageBreak/>
        <w:t>Dobavljač je dužan da za potrebe Naručioca izradi kartice za točenje goriva za službena vozila, koje će biti vezane za registarske tablice vozila. Troškovi izrade kartica padaju na teret Dobavljača.</w:t>
      </w:r>
    </w:p>
    <w:p w:rsidR="00EA5446" w:rsidRPr="00EA5446" w:rsidRDefault="00EA5446" w:rsidP="00EA5446">
      <w:pPr>
        <w:jc w:val="both"/>
        <w:rPr>
          <w:rFonts w:ascii="Cambria" w:hAnsi="Cambria" w:cs="Times New Roman"/>
          <w:sz w:val="24"/>
          <w:szCs w:val="24"/>
          <w:lang w:val="sl-SI"/>
        </w:rPr>
      </w:pPr>
      <w:r w:rsidRPr="00EA5446">
        <w:rPr>
          <w:rFonts w:ascii="Cambria" w:hAnsi="Cambria" w:cs="Times New Roman"/>
          <w:sz w:val="24"/>
          <w:szCs w:val="24"/>
          <w:lang w:val="sl-SI"/>
        </w:rPr>
        <w:t>Naručilac na benzinskoj stanici Dobavljača, prilikom kupovine goriva, plaćanje vrši karticama koje je Dobavljač izradio za predmetnu nabavku.</w:t>
      </w: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6.</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Za količine derivata nafte koje Naručilac preuzme u periodu od mjesec dana</w:t>
      </w:r>
      <w:r w:rsidRPr="00EA5446">
        <w:rPr>
          <w:rFonts w:ascii="Cambria" w:hAnsi="Cambria" w:cs="Times New Roman"/>
          <w:b/>
          <w:sz w:val="24"/>
          <w:szCs w:val="24"/>
          <w:lang w:val="sr-Latn-CS" w:eastAsia="en-CA"/>
        </w:rPr>
        <w:t>,</w:t>
      </w:r>
      <w:r w:rsidRPr="00EA5446">
        <w:rPr>
          <w:rFonts w:ascii="Cambria" w:hAnsi="Cambria" w:cs="Times New Roman"/>
          <w:b/>
          <w:i/>
          <w:sz w:val="24"/>
          <w:szCs w:val="24"/>
          <w:lang w:val="sr-Latn-CS" w:eastAsia="en-CA"/>
        </w:rPr>
        <w:t xml:space="preserve"> </w:t>
      </w:r>
      <w:r w:rsidRPr="00EA5446">
        <w:rPr>
          <w:rFonts w:ascii="Cambria" w:hAnsi="Cambria" w:cs="Times New Roman"/>
          <w:sz w:val="24"/>
          <w:szCs w:val="24"/>
          <w:lang w:val="sr-Latn-CS" w:eastAsia="en-CA"/>
        </w:rPr>
        <w:t>Dobavljač će izdati zbirni</w:t>
      </w:r>
      <w:r w:rsidRPr="00EA5446">
        <w:rPr>
          <w:rFonts w:ascii="Cambria" w:hAnsi="Cambria" w:cs="Times New Roman"/>
          <w:i/>
          <w:sz w:val="24"/>
          <w:szCs w:val="24"/>
          <w:lang w:val="sr-Latn-CS" w:eastAsia="en-CA"/>
        </w:rPr>
        <w:t xml:space="preserve"> </w:t>
      </w:r>
      <w:r w:rsidRPr="00EA5446">
        <w:rPr>
          <w:rFonts w:ascii="Cambria" w:hAnsi="Cambria" w:cs="Times New Roman"/>
          <w:sz w:val="24"/>
          <w:szCs w:val="24"/>
          <w:lang w:val="sr-Latn-CS" w:eastAsia="en-CA"/>
        </w:rPr>
        <w:t>nalog za plaćanje,</w:t>
      </w:r>
      <w:r w:rsidRPr="00EA5446">
        <w:rPr>
          <w:rFonts w:ascii="Cambria" w:hAnsi="Cambria" w:cs="Times New Roman"/>
          <w:b/>
          <w:sz w:val="24"/>
          <w:szCs w:val="24"/>
          <w:lang w:val="sr-Latn-CS" w:eastAsia="en-CA"/>
        </w:rPr>
        <w:t xml:space="preserve"> </w:t>
      </w:r>
      <w:r w:rsidRPr="00EA5446">
        <w:rPr>
          <w:rFonts w:ascii="Cambria" w:hAnsi="Cambria" w:cs="Times New Roman"/>
          <w:sz w:val="24"/>
          <w:szCs w:val="24"/>
          <w:lang w:val="sr-Latn-CS" w:eastAsia="en-CA"/>
        </w:rPr>
        <w:t>sa pregledom potrošnje goriva za svaku karticu,</w:t>
      </w:r>
      <w:r w:rsidRPr="00EA5446">
        <w:rPr>
          <w:rFonts w:ascii="Cambria" w:hAnsi="Cambria" w:cs="Times New Roman"/>
          <w:b/>
          <w:i/>
          <w:sz w:val="24"/>
          <w:szCs w:val="24"/>
          <w:lang w:val="sr-Latn-CS" w:eastAsia="en-CA"/>
        </w:rPr>
        <w:t xml:space="preserve"> </w:t>
      </w:r>
      <w:r w:rsidRPr="00EA5446">
        <w:rPr>
          <w:rFonts w:ascii="Cambria" w:hAnsi="Cambria" w:cs="Times New Roman"/>
          <w:sz w:val="24"/>
          <w:szCs w:val="24"/>
          <w:lang w:val="sr-Latn-CS" w:eastAsia="en-CA"/>
        </w:rPr>
        <w:t>koji dospijeva 15-og u sljedećem mjesecu.</w:t>
      </w:r>
    </w:p>
    <w:p w:rsidR="0058075B" w:rsidRDefault="0058075B" w:rsidP="0058075B">
      <w:pPr>
        <w:spacing w:after="0" w:line="240" w:lineRule="auto"/>
        <w:jc w:val="center"/>
        <w:rPr>
          <w:rFonts w:ascii="Cambria" w:hAnsi="Cambria"/>
          <w:b/>
          <w:color w:val="000000"/>
          <w:sz w:val="24"/>
          <w:szCs w:val="24"/>
          <w:lang w:val="pl-PL"/>
        </w:rPr>
      </w:pPr>
    </w:p>
    <w:p w:rsidR="0058075B" w:rsidRDefault="0058075B" w:rsidP="0058075B">
      <w:pPr>
        <w:spacing w:after="0" w:line="240" w:lineRule="auto"/>
        <w:jc w:val="center"/>
        <w:rPr>
          <w:rFonts w:ascii="Cambria" w:hAnsi="Cambria"/>
          <w:b/>
          <w:color w:val="000000"/>
          <w:sz w:val="24"/>
          <w:szCs w:val="24"/>
          <w:lang w:val="pl-PL"/>
        </w:rPr>
      </w:pPr>
      <w:r>
        <w:rPr>
          <w:rFonts w:ascii="Cambria" w:hAnsi="Cambria"/>
          <w:b/>
          <w:color w:val="000000"/>
          <w:sz w:val="24"/>
          <w:szCs w:val="24"/>
          <w:lang w:val="pl-PL"/>
        </w:rPr>
        <w:t>Član 7</w:t>
      </w:r>
    </w:p>
    <w:p w:rsidR="0058075B" w:rsidRPr="00276492" w:rsidRDefault="0058075B" w:rsidP="0058075B">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isporuke roba po ovom Ugovoru plati dobavljaču kod ____________banke, na broj računa _________________________ sukcesivno, 15 dana od dana uredno ispostavljene fakture. </w:t>
      </w:r>
    </w:p>
    <w:p w:rsidR="00EA5446" w:rsidRPr="00EA5446" w:rsidRDefault="00EA5446" w:rsidP="00EA5446">
      <w:pPr>
        <w:spacing w:after="0"/>
        <w:jc w:val="both"/>
        <w:rPr>
          <w:rFonts w:ascii="Cambria" w:hAnsi="Cambria" w:cs="Times New Roman"/>
          <w:sz w:val="24"/>
          <w:szCs w:val="24"/>
          <w:lang w:val="sl-SI"/>
        </w:rPr>
      </w:pPr>
      <w:r w:rsidRPr="00EA5446">
        <w:rPr>
          <w:rFonts w:ascii="Cambria" w:hAnsi="Cambria" w:cs="Times New Roman"/>
          <w:sz w:val="24"/>
          <w:szCs w:val="24"/>
          <w:lang w:val="sl-SI"/>
        </w:rPr>
        <w:t>Naručilac je dužan da izmiruje sve svoje obaveze u dogovorenom roku. Ukoliko Naručilac ne ispuni svoje obaveze, Dob</w:t>
      </w:r>
      <w:r w:rsidR="0058075B">
        <w:rPr>
          <w:rFonts w:ascii="Cambria" w:hAnsi="Cambria" w:cs="Times New Roman"/>
          <w:sz w:val="24"/>
          <w:szCs w:val="24"/>
          <w:lang w:val="sl-SI"/>
        </w:rPr>
        <w:t xml:space="preserve">avljač  neće isporučivati robu </w:t>
      </w:r>
      <w:r w:rsidRPr="00EA5446">
        <w:rPr>
          <w:rFonts w:ascii="Cambria" w:hAnsi="Cambria" w:cs="Times New Roman"/>
          <w:sz w:val="24"/>
          <w:szCs w:val="24"/>
          <w:lang w:val="sl-SI"/>
        </w:rPr>
        <w:t>Naručiocu do potpune naplate zaostalog duga.</w:t>
      </w:r>
    </w:p>
    <w:p w:rsidR="00EA5446" w:rsidRPr="00EA5446" w:rsidRDefault="00EA5446" w:rsidP="00EA5446">
      <w:pPr>
        <w:spacing w:after="0"/>
        <w:jc w:val="both"/>
        <w:rPr>
          <w:rFonts w:ascii="Cambria" w:hAnsi="Cambria" w:cs="Times New Roman"/>
          <w:sz w:val="24"/>
          <w:szCs w:val="24"/>
          <w:lang w:val="sl-SI"/>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 xml:space="preserve">Član </w:t>
      </w:r>
      <w:r w:rsidR="0058075B">
        <w:rPr>
          <w:rFonts w:ascii="Cambria" w:hAnsi="Cambria" w:cs="Times New Roman"/>
          <w:b/>
          <w:sz w:val="24"/>
          <w:szCs w:val="24"/>
          <w:lang w:val="sr-Latn-CS" w:eastAsia="en-CA"/>
        </w:rPr>
        <w:t>8</w:t>
      </w:r>
      <w:r w:rsidRPr="00EA5446">
        <w:rPr>
          <w:rFonts w:ascii="Cambria" w:hAnsi="Cambria" w:cs="Times New Roman"/>
          <w:b/>
          <w:sz w:val="24"/>
          <w:szCs w:val="24"/>
          <w:lang w:val="sr-Latn-CS" w:eastAsia="en-CA"/>
        </w:rPr>
        <w:t>.</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Ugovorne strane su saglasne da će ugovoreni odnos trajati godinu dana od dana zaključenja Ugovora ili do trenutka realizacije ukupno opred</w:t>
      </w:r>
      <w:r w:rsidR="0085142D">
        <w:rPr>
          <w:rFonts w:ascii="Cambria" w:hAnsi="Cambria" w:cs="Times New Roman"/>
          <w:sz w:val="24"/>
          <w:szCs w:val="24"/>
          <w:lang w:val="sr-Latn-CS" w:eastAsia="en-CA"/>
        </w:rPr>
        <w:t>ijeljenih sredstava – ugovorene</w:t>
      </w:r>
      <w:r w:rsidRPr="00EA5446">
        <w:rPr>
          <w:rFonts w:ascii="Cambria" w:hAnsi="Cambria" w:cs="Times New Roman"/>
          <w:sz w:val="24"/>
          <w:szCs w:val="24"/>
          <w:lang w:val="sr-Latn-CS" w:eastAsia="en-CA"/>
        </w:rPr>
        <w:t xml:space="preserve"> vrijednosti definisanih članom 1. ovog Ugovora.</w:t>
      </w:r>
    </w:p>
    <w:p w:rsidR="00197B08" w:rsidRDefault="00197B08" w:rsidP="00EA5446">
      <w:pPr>
        <w:spacing w:after="0"/>
        <w:jc w:val="both"/>
        <w:rPr>
          <w:rFonts w:ascii="Cambria" w:hAnsi="Cambria" w:cs="Times New Roman"/>
          <w:sz w:val="24"/>
          <w:szCs w:val="24"/>
          <w:lang w:val="sr-Latn-CS" w:eastAsia="en-CA"/>
        </w:rPr>
      </w:pP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Ugovor stupa na snagu kada ga potpišu ovlašćeni predstavnici ugovornih strana tj.  danom potpisivanja Ugovora.</w:t>
      </w:r>
    </w:p>
    <w:p w:rsidR="00EA5446" w:rsidRDefault="00EA5446" w:rsidP="00EA5446">
      <w:pPr>
        <w:spacing w:after="0"/>
        <w:jc w:val="center"/>
        <w:rPr>
          <w:rFonts w:ascii="Cambria" w:hAnsi="Cambria" w:cs="Times New Roman"/>
          <w:b/>
          <w:sz w:val="24"/>
          <w:szCs w:val="24"/>
          <w:lang w:val="sr-Latn-CS" w:eastAsia="en-CA"/>
        </w:rPr>
      </w:pPr>
    </w:p>
    <w:p w:rsidR="002B1B22" w:rsidRPr="002B1B22" w:rsidRDefault="002B1B22" w:rsidP="002B1B22">
      <w:pPr>
        <w:spacing w:after="0" w:line="240" w:lineRule="auto"/>
        <w:jc w:val="center"/>
        <w:rPr>
          <w:rFonts w:ascii="Cambria" w:hAnsi="Cambria"/>
          <w:b/>
          <w:sz w:val="24"/>
          <w:szCs w:val="24"/>
          <w:lang w:val="sr-Latn-CS"/>
        </w:rPr>
      </w:pPr>
      <w:r w:rsidRPr="002B1B22">
        <w:rPr>
          <w:rFonts w:ascii="Cambria" w:hAnsi="Cambria"/>
          <w:b/>
          <w:sz w:val="24"/>
          <w:szCs w:val="24"/>
          <w:lang w:val="sr-Latn-CS"/>
        </w:rPr>
        <w:t xml:space="preserve">Član </w:t>
      </w:r>
      <w:r>
        <w:rPr>
          <w:rFonts w:ascii="Cambria" w:hAnsi="Cambria"/>
          <w:b/>
          <w:sz w:val="24"/>
          <w:szCs w:val="24"/>
          <w:lang w:val="sr-Latn-CS"/>
        </w:rPr>
        <w:t>9</w:t>
      </w: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2B1B22" w:rsidRPr="002B1B22" w:rsidRDefault="002B1B22" w:rsidP="002B1B22">
      <w:pPr>
        <w:spacing w:after="0"/>
        <w:jc w:val="both"/>
        <w:rPr>
          <w:rFonts w:ascii="Cambria" w:hAnsi="Cambria"/>
          <w:sz w:val="24"/>
          <w:szCs w:val="24"/>
          <w:lang w:val="sr-Latn-CS"/>
        </w:rPr>
      </w:pP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 xml:space="preserve">Ugovorna strana pogođena višom silom dužna je odmah pisanim putem obavijestiti drugu stranu o nastanku kao i o prestanku više sile. </w:t>
      </w:r>
    </w:p>
    <w:p w:rsidR="002B1B22" w:rsidRPr="002B1B22" w:rsidRDefault="002B1B22" w:rsidP="002B1B22">
      <w:pPr>
        <w:spacing w:after="0"/>
        <w:jc w:val="both"/>
        <w:rPr>
          <w:rFonts w:ascii="Cambria" w:hAnsi="Cambria"/>
          <w:sz w:val="24"/>
          <w:szCs w:val="24"/>
          <w:lang w:val="sr-Latn-CS"/>
        </w:rPr>
      </w:pP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U slučaju trajanja više sile duže od 10 dana svaka ugovorna strana ima pravo na raskid ugovora.</w:t>
      </w:r>
    </w:p>
    <w:p w:rsidR="002B1B22" w:rsidRPr="002B1B22" w:rsidRDefault="002B1B22" w:rsidP="002B1B22">
      <w:pPr>
        <w:spacing w:after="0"/>
        <w:jc w:val="both"/>
        <w:rPr>
          <w:rFonts w:ascii="Cambria" w:hAnsi="Cambria"/>
          <w:sz w:val="24"/>
          <w:szCs w:val="24"/>
          <w:lang w:val="sr-Latn-CS"/>
        </w:rPr>
      </w:pPr>
    </w:p>
    <w:p w:rsidR="002B1B22" w:rsidRPr="002B1B22" w:rsidRDefault="002B1B22" w:rsidP="002B1B22">
      <w:pPr>
        <w:spacing w:after="0"/>
        <w:jc w:val="both"/>
        <w:rPr>
          <w:rFonts w:ascii="Cambria" w:hAnsi="Cambria"/>
          <w:sz w:val="24"/>
          <w:szCs w:val="24"/>
          <w:lang w:val="sr-Latn-CS"/>
        </w:rPr>
      </w:pPr>
      <w:r w:rsidRPr="002B1B22">
        <w:rPr>
          <w:rFonts w:ascii="Cambria" w:hAnsi="Cambria"/>
          <w:sz w:val="24"/>
          <w:szCs w:val="24"/>
          <w:lang w:val="sr-Latn-CS"/>
        </w:rPr>
        <w:t>Ugovorne strane se ne mogu pozvati na višu silu zbog okolnosti koje su im bile poznate u momentu zaključenja ugovora i preuzimanja ugovornih obaveza.</w:t>
      </w:r>
    </w:p>
    <w:p w:rsidR="002B1B22" w:rsidRPr="00EA5446" w:rsidRDefault="002B1B22" w:rsidP="00EA5446">
      <w:pPr>
        <w:spacing w:after="0"/>
        <w:jc w:val="center"/>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 xml:space="preserve">Član </w:t>
      </w:r>
      <w:r w:rsidR="002B1B22">
        <w:rPr>
          <w:rFonts w:ascii="Cambria" w:hAnsi="Cambria" w:cs="Times New Roman"/>
          <w:b/>
          <w:sz w:val="24"/>
          <w:szCs w:val="24"/>
          <w:lang w:val="sr-Latn-CS" w:eastAsia="en-CA"/>
        </w:rPr>
        <w:t>10</w:t>
      </w:r>
      <w:r w:rsidRPr="00EA5446">
        <w:rPr>
          <w:rFonts w:ascii="Cambria" w:hAnsi="Cambria" w:cs="Times New Roman"/>
          <w:b/>
          <w:sz w:val="24"/>
          <w:szCs w:val="24"/>
          <w:lang w:val="sr-Latn-CS" w:eastAsia="en-CA"/>
        </w:rPr>
        <w:t>.</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Ugovorne strane su saglasne da se Ugovor može raskinuti i prije roka iz člana 7. Ugovora, i to:</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-ako se ugovorne strane ne pridržavaju u svemu odredbi Ugovora;</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lastRenderedPageBreak/>
        <w:t>-ako ne postoji poslovni interes ugovorne strane za dalji ugovoreni odnos.</w:t>
      </w:r>
    </w:p>
    <w:p w:rsidR="002B1B22" w:rsidRPr="00197B08" w:rsidRDefault="00EA5446" w:rsidP="00197B08">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Otkazni rok je 30 dana. Otkaz se dostavlja drugoj ugovornoj strani u pisanoj  formi.</w:t>
      </w:r>
    </w:p>
    <w:p w:rsidR="002B1B22" w:rsidRDefault="002B1B22" w:rsidP="00EA5446">
      <w:pPr>
        <w:spacing w:after="0"/>
        <w:jc w:val="center"/>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 xml:space="preserve">Član </w:t>
      </w:r>
      <w:r w:rsidR="002B1B22">
        <w:rPr>
          <w:rFonts w:ascii="Cambria" w:hAnsi="Cambria" w:cs="Times New Roman"/>
          <w:b/>
          <w:sz w:val="24"/>
          <w:szCs w:val="24"/>
          <w:lang w:val="sr-Latn-CS" w:eastAsia="en-CA"/>
        </w:rPr>
        <w:t>11</w:t>
      </w:r>
      <w:r w:rsidRPr="00EA5446">
        <w:rPr>
          <w:rFonts w:ascii="Cambria" w:hAnsi="Cambria" w:cs="Times New Roman"/>
          <w:b/>
          <w:sz w:val="24"/>
          <w:szCs w:val="24"/>
          <w:lang w:val="sr-Latn-CS" w:eastAsia="en-CA"/>
        </w:rPr>
        <w:t>.</w:t>
      </w:r>
    </w:p>
    <w:p w:rsidR="00EA5446" w:rsidRPr="00EA5446" w:rsidRDefault="00EA5446" w:rsidP="00EA5446">
      <w:pPr>
        <w:spacing w:after="0"/>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Eventualne nesporazume ugovorne strane će rješavati dogovorom. U protivnom ugovara se nadležnost Privrednog suda u Podgorici.</w:t>
      </w:r>
    </w:p>
    <w:p w:rsidR="00EA5446" w:rsidRPr="00EA5446" w:rsidRDefault="00EA5446"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color w:val="000000"/>
          <w:sz w:val="24"/>
          <w:szCs w:val="24"/>
          <w:lang w:val="sr-Latn-CS"/>
        </w:rPr>
      </w:pPr>
      <w:r w:rsidRPr="00EA5446">
        <w:rPr>
          <w:rFonts w:ascii="Cambria" w:hAnsi="Cambria" w:cs="Times New Roman"/>
          <w:b/>
          <w:color w:val="000000"/>
          <w:sz w:val="24"/>
          <w:szCs w:val="24"/>
        </w:rPr>
        <w:t>Član 1</w:t>
      </w:r>
      <w:r w:rsidR="002B1B22">
        <w:rPr>
          <w:rFonts w:ascii="Cambria" w:hAnsi="Cambria" w:cs="Times New Roman"/>
          <w:b/>
          <w:color w:val="000000"/>
          <w:sz w:val="24"/>
          <w:szCs w:val="24"/>
        </w:rPr>
        <w:t>2</w:t>
      </w:r>
      <w:r w:rsidRPr="00EA5446">
        <w:rPr>
          <w:rFonts w:ascii="Cambria" w:hAnsi="Cambria" w:cs="Times New Roman"/>
          <w:b/>
          <w:color w:val="000000"/>
          <w:sz w:val="24"/>
          <w:szCs w:val="24"/>
        </w:rPr>
        <w:t>.</w:t>
      </w:r>
    </w:p>
    <w:p w:rsidR="00EA5446" w:rsidRPr="00EA5446" w:rsidRDefault="00EA5446" w:rsidP="00EA5446">
      <w:pPr>
        <w:spacing w:after="0"/>
        <w:jc w:val="both"/>
        <w:rPr>
          <w:rFonts w:ascii="Cambria" w:hAnsi="Cambria" w:cs="Times New Roman"/>
          <w:color w:val="000000"/>
          <w:sz w:val="24"/>
          <w:szCs w:val="24"/>
        </w:rPr>
      </w:pPr>
      <w:r w:rsidRPr="00EA5446">
        <w:rPr>
          <w:rFonts w:ascii="Cambria" w:hAnsi="Cambria" w:cs="Times New Roman"/>
          <w:color w:val="000000"/>
          <w:sz w:val="24"/>
          <w:szCs w:val="24"/>
        </w:rPr>
        <w:t xml:space="preserve">Ugovor o javnoj nabavci koji je zaključen uz kršenje antikorupcijskog pravila u skladu sa odredbama člana 15 ZJN </w:t>
      </w:r>
      <w:r w:rsidR="00FE1027" w:rsidRPr="00FE1027">
        <w:rPr>
          <w:rFonts w:ascii="Cambria" w:hAnsi="Cambria" w:cs="Times New Roman"/>
          <w:color w:val="000000"/>
          <w:sz w:val="24"/>
          <w:szCs w:val="24"/>
        </w:rPr>
        <w:t>(„Službeni list CG”, br.42/11, 57/14, 28/15 i 42/17</w:t>
      </w:r>
      <w:proofErr w:type="gramStart"/>
      <w:r w:rsidR="00FE1027" w:rsidRPr="00FE1027">
        <w:rPr>
          <w:rFonts w:ascii="Cambria" w:hAnsi="Cambria" w:cs="Times New Roman"/>
          <w:color w:val="000000"/>
          <w:sz w:val="24"/>
          <w:szCs w:val="24"/>
        </w:rPr>
        <w:t>)</w:t>
      </w:r>
      <w:r w:rsidRPr="00EA5446">
        <w:rPr>
          <w:rFonts w:ascii="Cambria" w:hAnsi="Cambria" w:cs="Times New Roman"/>
          <w:color w:val="000000"/>
          <w:sz w:val="24"/>
          <w:szCs w:val="24"/>
        </w:rPr>
        <w:t>ništav</w:t>
      </w:r>
      <w:r w:rsidR="0058075B">
        <w:rPr>
          <w:rFonts w:ascii="Cambria" w:hAnsi="Cambria" w:cs="Times New Roman"/>
          <w:color w:val="000000"/>
          <w:sz w:val="24"/>
          <w:szCs w:val="24"/>
        </w:rPr>
        <w:t>an</w:t>
      </w:r>
      <w:proofErr w:type="gramEnd"/>
      <w:r w:rsidRPr="00EA5446">
        <w:rPr>
          <w:rFonts w:ascii="Cambria" w:hAnsi="Cambria" w:cs="Times New Roman"/>
          <w:color w:val="000000"/>
          <w:sz w:val="24"/>
          <w:szCs w:val="24"/>
        </w:rPr>
        <w:t xml:space="preserve"> je.</w:t>
      </w:r>
    </w:p>
    <w:p w:rsidR="00EA5446" w:rsidRDefault="00EA5446" w:rsidP="00EA5446">
      <w:pPr>
        <w:spacing w:after="0"/>
        <w:rPr>
          <w:rFonts w:ascii="Cambria" w:hAnsi="Cambria" w:cs="Times New Roman"/>
          <w:b/>
          <w:sz w:val="24"/>
          <w:szCs w:val="24"/>
          <w:lang w:val="sr-Latn-CS" w:eastAsia="en-CA"/>
        </w:rPr>
      </w:pPr>
    </w:p>
    <w:p w:rsidR="002B1B22" w:rsidRPr="00EA5446" w:rsidRDefault="002B1B22" w:rsidP="00EA5446">
      <w:pPr>
        <w:spacing w:after="0"/>
        <w:rPr>
          <w:rFonts w:ascii="Cambria" w:hAnsi="Cambria" w:cs="Times New Roman"/>
          <w:b/>
          <w:sz w:val="24"/>
          <w:szCs w:val="24"/>
          <w:lang w:val="sr-Latn-CS" w:eastAsia="en-CA"/>
        </w:rPr>
      </w:pPr>
    </w:p>
    <w:p w:rsidR="00EA5446" w:rsidRPr="00EA5446" w:rsidRDefault="00EA5446" w:rsidP="00EA5446">
      <w:pPr>
        <w:spacing w:after="0"/>
        <w:jc w:val="center"/>
        <w:rPr>
          <w:rFonts w:ascii="Cambria" w:hAnsi="Cambria" w:cs="Times New Roman"/>
          <w:b/>
          <w:sz w:val="24"/>
          <w:szCs w:val="24"/>
          <w:lang w:val="sr-Latn-CS" w:eastAsia="en-CA"/>
        </w:rPr>
      </w:pPr>
      <w:r w:rsidRPr="00EA5446">
        <w:rPr>
          <w:rFonts w:ascii="Cambria" w:hAnsi="Cambria" w:cs="Times New Roman"/>
          <w:b/>
          <w:sz w:val="24"/>
          <w:szCs w:val="24"/>
          <w:lang w:val="sr-Latn-CS" w:eastAsia="en-CA"/>
        </w:rPr>
        <w:t>Član 1</w:t>
      </w:r>
      <w:r w:rsidR="002B1B22">
        <w:rPr>
          <w:rFonts w:ascii="Cambria" w:hAnsi="Cambria" w:cs="Times New Roman"/>
          <w:b/>
          <w:sz w:val="24"/>
          <w:szCs w:val="24"/>
          <w:lang w:val="sr-Latn-CS" w:eastAsia="en-CA"/>
        </w:rPr>
        <w:t>3</w:t>
      </w:r>
      <w:r w:rsidRPr="00EA5446">
        <w:rPr>
          <w:rFonts w:ascii="Cambria" w:hAnsi="Cambria" w:cs="Times New Roman"/>
          <w:b/>
          <w:sz w:val="24"/>
          <w:szCs w:val="24"/>
          <w:lang w:val="sr-Latn-CS" w:eastAsia="en-CA"/>
        </w:rPr>
        <w:t>.</w:t>
      </w:r>
    </w:p>
    <w:p w:rsidR="00EA5446" w:rsidRPr="00EA5446" w:rsidRDefault="00EA5446" w:rsidP="00EA5446">
      <w:pPr>
        <w:jc w:val="both"/>
        <w:rPr>
          <w:rFonts w:ascii="Cambria" w:hAnsi="Cambria" w:cs="Times New Roman"/>
          <w:sz w:val="24"/>
          <w:szCs w:val="24"/>
          <w:lang w:val="sr-Latn-CS" w:eastAsia="en-CA"/>
        </w:rPr>
      </w:pPr>
      <w:r w:rsidRPr="00EA5446">
        <w:rPr>
          <w:rFonts w:ascii="Cambria" w:hAnsi="Cambria" w:cs="Times New Roman"/>
          <w:sz w:val="24"/>
          <w:szCs w:val="24"/>
          <w:lang w:val="sr-Latn-CS" w:eastAsia="en-CA"/>
        </w:rPr>
        <w:t>Ovaj ugovor je zaključen i potpisan od dolje navedenih ovlašćenih zakonskih zastupnika strana ugovora i sačinjen je u 6 (šest) istovjetnih primjeraka, od kojih po 3 (tri) primjerka za Naručioca i  Dobavljača.</w:t>
      </w:r>
    </w:p>
    <w:p w:rsidR="00EA5446" w:rsidRPr="00EA5446" w:rsidRDefault="00EA5446" w:rsidP="00EA5446">
      <w:pPr>
        <w:spacing w:after="0"/>
        <w:jc w:val="both"/>
        <w:rPr>
          <w:rFonts w:ascii="Cambria" w:eastAsia="PMingLiU" w:hAnsi="Cambria" w:cs="Arial"/>
          <w:color w:val="000000"/>
          <w:sz w:val="24"/>
          <w:szCs w:val="24"/>
          <w:lang w:val="sl-SI" w:eastAsia="zh-TW"/>
        </w:rPr>
      </w:pPr>
    </w:p>
    <w:p w:rsidR="00EA5446" w:rsidRPr="00EA5446" w:rsidRDefault="00EA5446" w:rsidP="00EA5446">
      <w:pPr>
        <w:spacing w:after="0" w:line="240" w:lineRule="auto"/>
        <w:jc w:val="both"/>
        <w:rPr>
          <w:rFonts w:ascii="Cambria" w:eastAsia="PMingLiU" w:hAnsi="Cambria" w:cs="Arial"/>
          <w:color w:val="000000"/>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Napomena: Konačni tekst ugovora o javnoj nabavci biće sačinjen u skladu sa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480686" w:rsidRPr="007D32C6" w:rsidRDefault="00480686"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8" w:name="_Toc506294893"/>
      <w:r w:rsidRPr="007D32C6">
        <w:rPr>
          <w:rFonts w:asciiTheme="majorHAnsi" w:hAnsiTheme="majorHAnsi"/>
          <w:i w:val="0"/>
          <w:iCs w:val="0"/>
          <w:sz w:val="24"/>
          <w:szCs w:val="24"/>
          <w:u w:val="none"/>
        </w:rPr>
        <w:t>UPUTSTVO PONUĐAČIMA ZA SAČINJAVANJE I PODNOŠENJE PONUDE</w:t>
      </w:r>
      <w:bookmarkEnd w:id="18"/>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na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može da podnese ponudu za jednu ili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lastRenderedPageBreak/>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Ponudu može da podnese grupa ponuđača (zajednička ponuda), koji su neograničeno solidarno odgovorni za ponudu i obaveze iz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moraju navesti imena i stručne kvalifikacije lica koja će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5. Način pripremanja ponude sa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Učešće svih podugovorača ili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u potpunosti odgovara naručiocu za izvršenje ugovorene javne nabavke, bez obzira na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nema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se prilaže na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ponuđenu cijenu uračunavaju se svi troškovi i popusti na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Ponuđena cijena/e piše se brojkama.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Period važenja ponude ne može da bude kraći od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od naručioca pojašnjenje tenderske dokumentacije u roku od </w:t>
      </w:r>
      <w:r w:rsidR="00546BA2">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Zahtjev za pojašnjenje tenderske dokumentacije podnosi se u pisanoj formi (poštom, faxom, e-mailom...) na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Pojašnjenje tenderske dokumentacije predstavlja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506294894"/>
      <w:r w:rsidRPr="007D32C6">
        <w:rPr>
          <w:rFonts w:asciiTheme="majorHAnsi" w:hAnsiTheme="majorHAnsi"/>
          <w:i w:val="0"/>
          <w:iCs w:val="0"/>
          <w:sz w:val="24"/>
          <w:szCs w:val="24"/>
          <w:u w:val="none"/>
        </w:rPr>
        <w:t>OVLAŠĆENJE ZA ZASTUPANJE I UČESTVOVANJE U POSTUPKU JAVNOG OTVARANJA PONUDA</w:t>
      </w:r>
      <w:bookmarkEnd w:id="19"/>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5"/>
      <w:r w:rsidRPr="007D32C6">
        <w:rPr>
          <w:rFonts w:asciiTheme="majorHAnsi" w:hAnsiTheme="majorHAnsi"/>
          <w:i w:val="0"/>
          <w:iCs w:val="0"/>
          <w:sz w:val="24"/>
          <w:szCs w:val="24"/>
          <w:u w:val="none"/>
        </w:rPr>
        <w:t>UPUTSTVO O PRAVNOM SREDSTVU</w:t>
      </w:r>
      <w:bookmarkEnd w:id="20"/>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od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25" w:rsidRDefault="00303225" w:rsidP="00794548">
      <w:pPr>
        <w:spacing w:after="0" w:line="240" w:lineRule="auto"/>
      </w:pPr>
      <w:r>
        <w:separator/>
      </w:r>
    </w:p>
  </w:endnote>
  <w:endnote w:type="continuationSeparator" w:id="0">
    <w:p w:rsidR="00303225" w:rsidRDefault="00303225"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6A" w:rsidRPr="001E59C4" w:rsidRDefault="00A43B6A" w:rsidP="00480686">
    <w:pPr>
      <w:pStyle w:val="Footer"/>
      <w:jc w:val="right"/>
      <w:rPr>
        <w:rFonts w:asciiTheme="majorHAnsi" w:hAnsiTheme="majorHAnsi" w:cs="Times New Roman"/>
        <w:sz w:val="24"/>
        <w:szCs w:val="24"/>
      </w:rPr>
    </w:pPr>
    <w:r>
      <w:rPr>
        <w:rFonts w:asciiTheme="majorHAnsi" w:hAnsiTheme="majorHAnsi" w:cs="Times New Roman"/>
        <w:sz w:val="24"/>
        <w:szCs w:val="24"/>
      </w:rPr>
      <w:t xml:space="preserve">strana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8A26A3">
      <w:rPr>
        <w:rFonts w:asciiTheme="majorHAnsi" w:hAnsiTheme="majorHAnsi" w:cs="Times New Roman"/>
        <w:noProof/>
        <w:sz w:val="24"/>
        <w:szCs w:val="24"/>
      </w:rPr>
      <w:t>1</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w:t>
    </w:r>
    <w:r w:rsidRPr="001E59C4">
      <w:rPr>
        <w:rFonts w:asciiTheme="majorHAnsi" w:hAnsiTheme="majorHAnsi" w:cs="Times New Roman"/>
        <w:sz w:val="24"/>
        <w:szCs w:val="24"/>
      </w:rPr>
      <w:t>3</w:t>
    </w:r>
    <w:r>
      <w:rPr>
        <w:rFonts w:asciiTheme="majorHAnsi" w:hAnsiTheme="majorHAnsi" w:cs="Times New Roman"/>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25" w:rsidRDefault="00303225" w:rsidP="00794548">
      <w:pPr>
        <w:spacing w:after="0" w:line="240" w:lineRule="auto"/>
      </w:pPr>
      <w:r>
        <w:separator/>
      </w:r>
    </w:p>
  </w:footnote>
  <w:footnote w:type="continuationSeparator" w:id="0">
    <w:p w:rsidR="00303225" w:rsidRDefault="00303225" w:rsidP="00794548">
      <w:pPr>
        <w:spacing w:after="0" w:line="240" w:lineRule="auto"/>
      </w:pPr>
      <w:r>
        <w:continuationSeparator/>
      </w:r>
    </w:p>
  </w:footnote>
  <w:footnote w:id="1">
    <w:p w:rsidR="00A43B6A" w:rsidRDefault="00A43B6A"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p w:rsidR="000A3E80" w:rsidRDefault="000A3E80" w:rsidP="00794548">
      <w:pPr>
        <w:pStyle w:val="FootnoteText"/>
        <w:rPr>
          <w:rFonts w:cs="Times New Roman"/>
        </w:rPr>
      </w:pPr>
    </w:p>
  </w:footnote>
  <w:footnote w:id="2">
    <w:p w:rsidR="00A43B6A" w:rsidRDefault="00A43B6A"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p w:rsidR="000A3E80" w:rsidRDefault="000A3E80" w:rsidP="00794548">
      <w:pPr>
        <w:pStyle w:val="FootnoteText"/>
        <w:rPr>
          <w:rFonts w:cs="Times New Roman"/>
        </w:rPr>
      </w:pPr>
    </w:p>
  </w:footnote>
  <w:footnote w:id="3">
    <w:p w:rsidR="00A43B6A" w:rsidRDefault="00A43B6A"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A43B6A" w:rsidRPr="007E1F59" w:rsidRDefault="00A43B6A"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43B6A" w:rsidRDefault="00A43B6A" w:rsidP="00794548">
      <w:pPr>
        <w:pStyle w:val="FootnoteText"/>
        <w:rPr>
          <w:rFonts w:cs="Times New Roman"/>
        </w:rPr>
      </w:pPr>
    </w:p>
  </w:footnote>
  <w:footnote w:id="5">
    <w:p w:rsidR="00A43B6A" w:rsidRPr="007E1F59" w:rsidRDefault="00A43B6A"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43B6A" w:rsidRDefault="00A43B6A" w:rsidP="00794548">
      <w:pPr>
        <w:pStyle w:val="FootnoteText"/>
        <w:jc w:val="both"/>
        <w:rPr>
          <w:rFonts w:cs="Times New Roman"/>
        </w:rPr>
      </w:pPr>
    </w:p>
  </w:footnote>
  <w:footnote w:id="6">
    <w:p w:rsidR="00A43B6A" w:rsidRDefault="00A43B6A"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43B6A" w:rsidRDefault="00A43B6A"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43B6A" w:rsidRPr="007E1F59" w:rsidRDefault="00A43B6A"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43B6A" w:rsidRDefault="00A43B6A" w:rsidP="00794548">
      <w:pPr>
        <w:pStyle w:val="FootnoteText"/>
        <w:rPr>
          <w:rFonts w:cs="Times New Roman"/>
        </w:rPr>
      </w:pPr>
    </w:p>
  </w:footnote>
  <w:footnote w:id="9">
    <w:p w:rsidR="00A43B6A" w:rsidRPr="00EF3747" w:rsidRDefault="00A43B6A"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43B6A" w:rsidRDefault="00A43B6A" w:rsidP="00794548">
      <w:pPr>
        <w:pStyle w:val="FootnoteText"/>
        <w:rPr>
          <w:rFonts w:cs="Times New Roman"/>
        </w:rPr>
      </w:pPr>
    </w:p>
  </w:footnote>
  <w:footnote w:id="10">
    <w:p w:rsidR="00A43B6A" w:rsidRPr="007E1F59" w:rsidRDefault="00A43B6A"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43B6A" w:rsidRDefault="00A43B6A" w:rsidP="00794548">
      <w:pPr>
        <w:pStyle w:val="FootnoteText"/>
        <w:rPr>
          <w:rFonts w:cs="Times New Roman"/>
        </w:rPr>
      </w:pPr>
    </w:p>
  </w:footnote>
  <w:footnote w:id="11">
    <w:p w:rsidR="00A43B6A" w:rsidRPr="007F6785" w:rsidRDefault="00A43B6A"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43B6A" w:rsidRDefault="00A43B6A" w:rsidP="00794548">
      <w:pPr>
        <w:pStyle w:val="FootnoteText"/>
        <w:jc w:val="both"/>
        <w:rPr>
          <w:rFonts w:cs="Times New Roman"/>
        </w:rPr>
      </w:pPr>
    </w:p>
  </w:footnote>
  <w:footnote w:id="12">
    <w:p w:rsidR="00A43B6A" w:rsidRDefault="00A43B6A"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43B6A" w:rsidRPr="00FA6401" w:rsidRDefault="00A43B6A"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43B6A" w:rsidRDefault="00A43B6A"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43B6A" w:rsidRDefault="00A43B6A" w:rsidP="005E3E9F">
      <w:pPr>
        <w:pStyle w:val="FootnoteText"/>
        <w:rPr>
          <w:rFonts w:cs="Times New Roman"/>
        </w:rPr>
      </w:pPr>
    </w:p>
  </w:footnote>
  <w:footnote w:id="15">
    <w:p w:rsidR="00A43B6A" w:rsidRDefault="00A43B6A"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6A" w:rsidRDefault="00A43B6A">
    <w:pPr>
      <w:pStyle w:val="Header"/>
      <w:jc w:val="right"/>
      <w:rPr>
        <w:rFonts w:cs="Times New Roman"/>
      </w:rPr>
    </w:pPr>
  </w:p>
  <w:p w:rsidR="00A43B6A" w:rsidRDefault="00A43B6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CFF"/>
    <w:multiLevelType w:val="hybridMultilevel"/>
    <w:tmpl w:val="86A6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FB6F38"/>
    <w:multiLevelType w:val="hybridMultilevel"/>
    <w:tmpl w:val="C5083E3E"/>
    <w:lvl w:ilvl="0" w:tplc="09EE2E8E">
      <w:numFmt w:val="bullet"/>
      <w:lvlText w:val="–"/>
      <w:lvlJc w:val="left"/>
      <w:pPr>
        <w:ind w:left="720" w:hanging="360"/>
      </w:pPr>
      <w:rPr>
        <w:rFonts w:ascii="Cambria" w:eastAsia="Calibri" w:hAnsi="Cambria" w:cs="Calibri" w:hint="default"/>
      </w:rPr>
    </w:lvl>
    <w:lvl w:ilvl="1" w:tplc="1AE2A7E0">
      <w:numFmt w:val="bullet"/>
      <w:lvlText w:val="-"/>
      <w:lvlJc w:val="left"/>
      <w:pPr>
        <w:ind w:left="1440" w:hanging="360"/>
      </w:pPr>
      <w:rPr>
        <w:rFonts w:ascii="Cambria" w:eastAsia="Calibr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C266F09"/>
    <w:multiLevelType w:val="hybridMultilevel"/>
    <w:tmpl w:val="FE6CFD08"/>
    <w:lvl w:ilvl="0" w:tplc="48A2F0FE">
      <w:numFmt w:val="bullet"/>
      <w:lvlText w:val="-"/>
      <w:lvlJc w:val="left"/>
      <w:pPr>
        <w:ind w:left="0" w:hanging="360"/>
      </w:pPr>
      <w:rPr>
        <w:rFonts w:ascii="Calibri" w:eastAsia="Calibri" w:hAnsi="Calibri" w:cs="Calibri" w:hint="default"/>
      </w:rPr>
    </w:lvl>
    <w:lvl w:ilvl="1" w:tplc="2C1A0003" w:tentative="1">
      <w:start w:val="1"/>
      <w:numFmt w:val="bullet"/>
      <w:lvlText w:val="o"/>
      <w:lvlJc w:val="left"/>
      <w:pPr>
        <w:ind w:left="720" w:hanging="360"/>
      </w:pPr>
      <w:rPr>
        <w:rFonts w:ascii="Courier New" w:hAnsi="Courier New" w:cs="Courier New" w:hint="default"/>
      </w:rPr>
    </w:lvl>
    <w:lvl w:ilvl="2" w:tplc="2C1A0005" w:tentative="1">
      <w:start w:val="1"/>
      <w:numFmt w:val="bullet"/>
      <w:lvlText w:val=""/>
      <w:lvlJc w:val="left"/>
      <w:pPr>
        <w:ind w:left="1440" w:hanging="360"/>
      </w:pPr>
      <w:rPr>
        <w:rFonts w:ascii="Wingdings" w:hAnsi="Wingdings" w:hint="default"/>
      </w:rPr>
    </w:lvl>
    <w:lvl w:ilvl="3" w:tplc="2C1A0001" w:tentative="1">
      <w:start w:val="1"/>
      <w:numFmt w:val="bullet"/>
      <w:lvlText w:val=""/>
      <w:lvlJc w:val="left"/>
      <w:pPr>
        <w:ind w:left="2160" w:hanging="360"/>
      </w:pPr>
      <w:rPr>
        <w:rFonts w:ascii="Symbol" w:hAnsi="Symbol" w:hint="default"/>
      </w:rPr>
    </w:lvl>
    <w:lvl w:ilvl="4" w:tplc="2C1A0003" w:tentative="1">
      <w:start w:val="1"/>
      <w:numFmt w:val="bullet"/>
      <w:lvlText w:val="o"/>
      <w:lvlJc w:val="left"/>
      <w:pPr>
        <w:ind w:left="2880" w:hanging="360"/>
      </w:pPr>
      <w:rPr>
        <w:rFonts w:ascii="Courier New" w:hAnsi="Courier New" w:cs="Courier New" w:hint="default"/>
      </w:rPr>
    </w:lvl>
    <w:lvl w:ilvl="5" w:tplc="2C1A0005" w:tentative="1">
      <w:start w:val="1"/>
      <w:numFmt w:val="bullet"/>
      <w:lvlText w:val=""/>
      <w:lvlJc w:val="left"/>
      <w:pPr>
        <w:ind w:left="3600" w:hanging="360"/>
      </w:pPr>
      <w:rPr>
        <w:rFonts w:ascii="Wingdings" w:hAnsi="Wingdings" w:hint="default"/>
      </w:rPr>
    </w:lvl>
    <w:lvl w:ilvl="6" w:tplc="2C1A0001" w:tentative="1">
      <w:start w:val="1"/>
      <w:numFmt w:val="bullet"/>
      <w:lvlText w:val=""/>
      <w:lvlJc w:val="left"/>
      <w:pPr>
        <w:ind w:left="4320" w:hanging="360"/>
      </w:pPr>
      <w:rPr>
        <w:rFonts w:ascii="Symbol" w:hAnsi="Symbol" w:hint="default"/>
      </w:rPr>
    </w:lvl>
    <w:lvl w:ilvl="7" w:tplc="2C1A0003" w:tentative="1">
      <w:start w:val="1"/>
      <w:numFmt w:val="bullet"/>
      <w:lvlText w:val="o"/>
      <w:lvlJc w:val="left"/>
      <w:pPr>
        <w:ind w:left="5040" w:hanging="360"/>
      </w:pPr>
      <w:rPr>
        <w:rFonts w:ascii="Courier New" w:hAnsi="Courier New" w:cs="Courier New" w:hint="default"/>
      </w:rPr>
    </w:lvl>
    <w:lvl w:ilvl="8" w:tplc="2C1A0005" w:tentative="1">
      <w:start w:val="1"/>
      <w:numFmt w:val="bullet"/>
      <w:lvlText w:val=""/>
      <w:lvlJc w:val="left"/>
      <w:pPr>
        <w:ind w:left="5760" w:hanging="360"/>
      </w:pPr>
      <w:rPr>
        <w:rFonts w:ascii="Wingdings" w:hAnsi="Wingdings" w:hint="default"/>
      </w:r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4FFB18ED"/>
    <w:multiLevelType w:val="hybridMultilevel"/>
    <w:tmpl w:val="0786FD2A"/>
    <w:lvl w:ilvl="0" w:tplc="2C1A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6770D9B"/>
    <w:multiLevelType w:val="hybridMultilevel"/>
    <w:tmpl w:val="34B68F30"/>
    <w:lvl w:ilvl="0" w:tplc="EEA86B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8"/>
  </w:num>
  <w:num w:numId="6">
    <w:abstractNumId w:val="3"/>
  </w:num>
  <w:num w:numId="7">
    <w:abstractNumId w:val="7"/>
  </w:num>
  <w:num w:numId="8">
    <w:abstractNumId w:val="1"/>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A3E80"/>
    <w:rsid w:val="00105174"/>
    <w:rsid w:val="00157D87"/>
    <w:rsid w:val="00160471"/>
    <w:rsid w:val="00197B08"/>
    <w:rsid w:val="001C73CA"/>
    <w:rsid w:val="001E59C4"/>
    <w:rsid w:val="001E5CC4"/>
    <w:rsid w:val="001F4A9F"/>
    <w:rsid w:val="001F6E6C"/>
    <w:rsid w:val="0021087F"/>
    <w:rsid w:val="002941BA"/>
    <w:rsid w:val="002B1B22"/>
    <w:rsid w:val="00301D00"/>
    <w:rsid w:val="00303225"/>
    <w:rsid w:val="00385C7F"/>
    <w:rsid w:val="00387685"/>
    <w:rsid w:val="003A4C78"/>
    <w:rsid w:val="003B1262"/>
    <w:rsid w:val="00411ABC"/>
    <w:rsid w:val="00441F3A"/>
    <w:rsid w:val="00480686"/>
    <w:rsid w:val="00492067"/>
    <w:rsid w:val="004A4C82"/>
    <w:rsid w:val="004C4F0C"/>
    <w:rsid w:val="004E4BAD"/>
    <w:rsid w:val="00510C7E"/>
    <w:rsid w:val="0051575C"/>
    <w:rsid w:val="0053058A"/>
    <w:rsid w:val="00546BA2"/>
    <w:rsid w:val="0055159E"/>
    <w:rsid w:val="005724C1"/>
    <w:rsid w:val="0058075B"/>
    <w:rsid w:val="00595118"/>
    <w:rsid w:val="005E3E9F"/>
    <w:rsid w:val="0060271E"/>
    <w:rsid w:val="006574DC"/>
    <w:rsid w:val="0067358E"/>
    <w:rsid w:val="006B4E96"/>
    <w:rsid w:val="006B70CF"/>
    <w:rsid w:val="006D41DE"/>
    <w:rsid w:val="006F329B"/>
    <w:rsid w:val="00794548"/>
    <w:rsid w:val="007D32C6"/>
    <w:rsid w:val="0085142D"/>
    <w:rsid w:val="008616F3"/>
    <w:rsid w:val="00895DA0"/>
    <w:rsid w:val="008A26A3"/>
    <w:rsid w:val="008B47C8"/>
    <w:rsid w:val="008E6B38"/>
    <w:rsid w:val="00912842"/>
    <w:rsid w:val="00915951"/>
    <w:rsid w:val="00962A1B"/>
    <w:rsid w:val="009A575D"/>
    <w:rsid w:val="00A24AC6"/>
    <w:rsid w:val="00A36D14"/>
    <w:rsid w:val="00A37970"/>
    <w:rsid w:val="00A43B6A"/>
    <w:rsid w:val="00AE6B22"/>
    <w:rsid w:val="00B252C9"/>
    <w:rsid w:val="00B26099"/>
    <w:rsid w:val="00B31FAE"/>
    <w:rsid w:val="00B412F4"/>
    <w:rsid w:val="00B7348E"/>
    <w:rsid w:val="00BC4033"/>
    <w:rsid w:val="00BD0352"/>
    <w:rsid w:val="00BF4E69"/>
    <w:rsid w:val="00C06079"/>
    <w:rsid w:val="00C0692B"/>
    <w:rsid w:val="00C751A7"/>
    <w:rsid w:val="00C9561A"/>
    <w:rsid w:val="00CA5005"/>
    <w:rsid w:val="00CA65B8"/>
    <w:rsid w:val="00CA7228"/>
    <w:rsid w:val="00CB3B5C"/>
    <w:rsid w:val="00CF3428"/>
    <w:rsid w:val="00D02B4F"/>
    <w:rsid w:val="00DB30F3"/>
    <w:rsid w:val="00DB5069"/>
    <w:rsid w:val="00DE3EFF"/>
    <w:rsid w:val="00DE6C2B"/>
    <w:rsid w:val="00DF14A1"/>
    <w:rsid w:val="00E3759A"/>
    <w:rsid w:val="00E963C7"/>
    <w:rsid w:val="00EA041F"/>
    <w:rsid w:val="00EA5446"/>
    <w:rsid w:val="00F411E5"/>
    <w:rsid w:val="00F52FB8"/>
    <w:rsid w:val="00F9713F"/>
    <w:rsid w:val="00FA6F7E"/>
    <w:rsid w:val="00FC01FA"/>
    <w:rsid w:val="00FE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D1B6-1C8D-41E9-8DB2-C8440EE0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6672</Words>
  <Characters>38035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6</cp:revision>
  <cp:lastPrinted>2018-03-28T08:17:00Z</cp:lastPrinted>
  <dcterms:created xsi:type="dcterms:W3CDTF">2018-03-28T07:14:00Z</dcterms:created>
  <dcterms:modified xsi:type="dcterms:W3CDTF">2018-03-28T08:20:00Z</dcterms:modified>
</cp:coreProperties>
</file>