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FE61" w14:textId="798F0EF3" w:rsidR="00A32F47" w:rsidRDefault="006A68A7" w:rsidP="004A4F46">
      <w:pPr>
        <w:spacing w:after="0" w:line="276" w:lineRule="auto"/>
        <w:jc w:val="both"/>
        <w:rPr>
          <w:rFonts w:cstheme="minorHAnsi"/>
          <w:bCs/>
          <w:sz w:val="24"/>
          <w:szCs w:val="24"/>
          <w:lang w:val="sr-Latn-ME"/>
        </w:rPr>
      </w:pPr>
      <w:r w:rsidRPr="006A68A7">
        <w:rPr>
          <w:rFonts w:cstheme="minorHAnsi"/>
          <w:bCs/>
          <w:sz w:val="24"/>
          <w:szCs w:val="24"/>
          <w:lang w:val="sr-Latn-ME"/>
        </w:rPr>
        <w:t xml:space="preserve">Na osnovu člana </w:t>
      </w:r>
      <w:r>
        <w:rPr>
          <w:rFonts w:cstheme="minorHAnsi"/>
          <w:bCs/>
          <w:sz w:val="24"/>
          <w:szCs w:val="24"/>
          <w:lang w:val="sr-Latn-ME"/>
        </w:rPr>
        <w:t xml:space="preserve">90 </w:t>
      </w:r>
      <w:r w:rsidRPr="006A68A7">
        <w:rPr>
          <w:rFonts w:cstheme="minorHAnsi"/>
          <w:bCs/>
          <w:sz w:val="24"/>
          <w:szCs w:val="24"/>
          <w:lang w:val="sr-Latn-ME"/>
        </w:rPr>
        <w:t xml:space="preserve">stav </w:t>
      </w:r>
      <w:r>
        <w:rPr>
          <w:rFonts w:cstheme="minorHAnsi"/>
          <w:bCs/>
          <w:sz w:val="24"/>
          <w:szCs w:val="24"/>
          <w:lang w:val="sr-Latn-ME"/>
        </w:rPr>
        <w:t>2</w:t>
      </w:r>
      <w:r w:rsidRPr="006A68A7">
        <w:rPr>
          <w:rFonts w:cstheme="minorHAnsi"/>
          <w:bCs/>
          <w:sz w:val="24"/>
          <w:szCs w:val="24"/>
          <w:lang w:val="sr-Latn-ME"/>
        </w:rPr>
        <w:t xml:space="preserve">, </w:t>
      </w:r>
      <w:r w:rsidR="000E2895" w:rsidRPr="000E2895">
        <w:rPr>
          <w:rFonts w:cstheme="minorHAnsi"/>
          <w:bCs/>
          <w:sz w:val="24"/>
          <w:szCs w:val="24"/>
          <w:lang w:val="sr-Latn-ME"/>
        </w:rPr>
        <w:t xml:space="preserve">člana 91 i člana 95 stav 3 </w:t>
      </w:r>
      <w:r w:rsidRPr="006A68A7">
        <w:rPr>
          <w:rFonts w:cstheme="minorHAnsi"/>
          <w:bCs/>
          <w:sz w:val="24"/>
          <w:szCs w:val="24"/>
          <w:lang w:val="sr-Latn-ME"/>
        </w:rPr>
        <w:t xml:space="preserve">Zakona o osiguranju ("Službeni list RCG", broj 78/06 i "Službeni list CG", broj 45/12, 55/16 i 146/21), na </w:t>
      </w:r>
      <w:r w:rsidR="00026440">
        <w:rPr>
          <w:rFonts w:cstheme="minorHAnsi"/>
          <w:bCs/>
          <w:sz w:val="24"/>
          <w:szCs w:val="24"/>
          <w:lang w:val="sr-Latn-ME"/>
        </w:rPr>
        <w:t xml:space="preserve">___ </w:t>
      </w:r>
      <w:r w:rsidRPr="006A68A7">
        <w:rPr>
          <w:rFonts w:cstheme="minorHAnsi"/>
          <w:bCs/>
          <w:sz w:val="24"/>
          <w:szCs w:val="24"/>
          <w:lang w:val="sr-Latn-ME"/>
        </w:rPr>
        <w:t xml:space="preserve"> sjednici od </w:t>
      </w:r>
      <w:r w:rsidR="00026440">
        <w:rPr>
          <w:rFonts w:cstheme="minorHAnsi"/>
          <w:bCs/>
          <w:sz w:val="24"/>
          <w:szCs w:val="24"/>
          <w:lang w:val="sr-Latn-ME"/>
        </w:rPr>
        <w:t>____________</w:t>
      </w:r>
      <w:r w:rsidRPr="006A68A7">
        <w:rPr>
          <w:rFonts w:cstheme="minorHAnsi"/>
          <w:bCs/>
          <w:sz w:val="24"/>
          <w:szCs w:val="24"/>
          <w:lang w:val="sr-Latn-ME"/>
        </w:rPr>
        <w:t xml:space="preserve"> godine Savjet Agencije za nadzor osiguranja donio je</w:t>
      </w:r>
    </w:p>
    <w:p w14:paraId="48639D7A" w14:textId="77777777" w:rsidR="004A4F46" w:rsidRDefault="004A4F46" w:rsidP="000E2895">
      <w:pPr>
        <w:spacing w:after="0" w:line="276" w:lineRule="auto"/>
        <w:jc w:val="center"/>
        <w:rPr>
          <w:rFonts w:cstheme="minorHAnsi"/>
          <w:b/>
          <w:sz w:val="24"/>
          <w:szCs w:val="24"/>
          <w:lang w:val="sr-Latn-ME"/>
        </w:rPr>
      </w:pPr>
    </w:p>
    <w:p w14:paraId="5D896943" w14:textId="3EDD3C6B" w:rsidR="00A32F47" w:rsidRDefault="00A32F47" w:rsidP="000E2895">
      <w:pPr>
        <w:spacing w:after="0"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PRAVILNIK</w:t>
      </w:r>
      <w:r w:rsidR="0081144B" w:rsidRPr="0081144B">
        <w:rPr>
          <w:rFonts w:cstheme="minorHAnsi"/>
          <w:b/>
          <w:sz w:val="24"/>
          <w:szCs w:val="24"/>
          <w:lang w:val="sr-Latn-ME"/>
        </w:rPr>
        <w:t xml:space="preserve"> </w:t>
      </w:r>
      <w:r w:rsidR="0081144B">
        <w:rPr>
          <w:rFonts w:cstheme="minorHAnsi"/>
          <w:b/>
          <w:sz w:val="24"/>
          <w:szCs w:val="24"/>
          <w:lang w:val="sr-Latn-ME"/>
        </w:rPr>
        <w:t xml:space="preserve">O DEPONOVANJU I ULAGANJU SREDSTAVA TEHNIČKIH REZERVI </w:t>
      </w:r>
    </w:p>
    <w:p w14:paraId="10F86662" w14:textId="7B981F81" w:rsidR="00714DB1" w:rsidRPr="0081144B" w:rsidRDefault="0081144B" w:rsidP="000E2895">
      <w:pPr>
        <w:spacing w:after="0"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DRUŠTVA ZA OSIGURANJE</w:t>
      </w:r>
      <w:r w:rsidRPr="0081144B">
        <w:rPr>
          <w:rFonts w:cstheme="minorHAnsi"/>
          <w:b/>
          <w:sz w:val="24"/>
          <w:szCs w:val="24"/>
          <w:lang w:val="sr-Latn-ME"/>
        </w:rPr>
        <w:t xml:space="preserve"> </w:t>
      </w:r>
    </w:p>
    <w:p w14:paraId="302589D0" w14:textId="77777777" w:rsidR="0081144B" w:rsidRDefault="0081144B" w:rsidP="004A4F4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2165D8AE" w14:textId="7777777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1</w:t>
      </w:r>
    </w:p>
    <w:p w14:paraId="0D656966" w14:textId="01A4D2F6" w:rsidR="004321F6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Ovim pravilnikom propisuju se vrste imovine u koje se mogu deponovati i ulagati sredstva tehničkih rezervi društva za osiguranje, ograničenja deponovanja i ulaganja sredstava tehničkih rezervi, kao i visina sredstava koja društva za osiguranje mogu deponovati i ulagati u inostranstvu.</w:t>
      </w:r>
    </w:p>
    <w:p w14:paraId="2B3DCEC8" w14:textId="77777777" w:rsidR="000E2895" w:rsidRPr="00F66D3C" w:rsidRDefault="000E2895" w:rsidP="004A4F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</w:p>
    <w:p w14:paraId="06891E63" w14:textId="7777777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2</w:t>
      </w:r>
    </w:p>
    <w:p w14:paraId="4A2BE93F" w14:textId="757F4A9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Vrijednost imovine u koju su deponovana i uložena sredstva tehničkih rezervi u svakom trenutku, treba da bude najmanje jednaka iznosu potrebnom za pokriće budućih obaveza iz zaključenih ugovora o osiguranju.</w:t>
      </w:r>
    </w:p>
    <w:p w14:paraId="5DC049CF" w14:textId="47138353" w:rsidR="0081144B" w:rsidRPr="00D571B2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Izbor vrste imovine i visine deponovanja i ulaganja vrši se u skladu sa principima sigurnosti, prinosa i</w:t>
      </w:r>
      <w:r w:rsidR="0081144B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prometljivosti imovine.</w:t>
      </w:r>
    </w:p>
    <w:p w14:paraId="39774172" w14:textId="77777777" w:rsidR="000E2895" w:rsidRDefault="000E2895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1098E5D8" w14:textId="694FE7AA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3</w:t>
      </w:r>
    </w:p>
    <w:p w14:paraId="6FF686CA" w14:textId="30CD2FF5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Princip sigurnosti prilikom izbora imovine u koju se deponuju i ulažu sredstva tehničkih rezervi ostvaren je ako su ispunjeni ekonomski i pravni aspekt sigurnosti.</w:t>
      </w:r>
    </w:p>
    <w:p w14:paraId="5F9DE772" w14:textId="7777777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Ekonomski aspekt sigurnosti podrazumijeva:</w:t>
      </w:r>
    </w:p>
    <w:p w14:paraId="680C693A" w14:textId="0B2893ED" w:rsidR="004321F6" w:rsidRPr="0081144B" w:rsidRDefault="004321F6" w:rsidP="004A4F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81144B">
        <w:rPr>
          <w:rFonts w:cstheme="minorHAnsi"/>
          <w:color w:val="000000"/>
          <w:sz w:val="24"/>
          <w:szCs w:val="24"/>
          <w:lang w:val="sr-Latn-ME"/>
        </w:rPr>
        <w:t>raznovrsnost i disperziju izabranih oblika imovine (po vrijednosti, vlasniku, prinosu, međuodnosu sa drugim</w:t>
      </w:r>
      <w:r w:rsidR="0081144B" w:rsidRPr="0081144B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81144B">
        <w:rPr>
          <w:rFonts w:cstheme="minorHAnsi"/>
          <w:color w:val="000000"/>
          <w:sz w:val="24"/>
          <w:szCs w:val="24"/>
          <w:lang w:val="sr-Latn-ME"/>
        </w:rPr>
        <w:t>vrstama ulaganja),</w:t>
      </w:r>
    </w:p>
    <w:p w14:paraId="5C8D8C95" w14:textId="2EBFA9BD" w:rsidR="004321F6" w:rsidRPr="0081144B" w:rsidRDefault="004321F6" w:rsidP="004A4F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81144B">
        <w:rPr>
          <w:rFonts w:cstheme="minorHAnsi"/>
          <w:color w:val="000000"/>
          <w:sz w:val="24"/>
          <w:szCs w:val="24"/>
          <w:lang w:val="sr-Latn-ME"/>
        </w:rPr>
        <w:t>izbor imovine čija vrijednost ne varira u znatnoj mjeri, vrednovane pouzdanom i opreznom metodom i kojom</w:t>
      </w:r>
      <w:r w:rsidR="0081144B" w:rsidRPr="0081144B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81144B">
        <w:rPr>
          <w:rFonts w:cstheme="minorHAnsi"/>
          <w:color w:val="000000"/>
          <w:sz w:val="24"/>
          <w:szCs w:val="24"/>
          <w:lang w:val="sr-Latn-ME"/>
        </w:rPr>
        <w:t>se može trgovati na uređenom tržištu.</w:t>
      </w:r>
    </w:p>
    <w:p w14:paraId="3D571F66" w14:textId="7777777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Pravni aspekt sigurnosti podrazumijeva mogućnost neograničenog raspolaganja imovinom.</w:t>
      </w:r>
    </w:p>
    <w:p w14:paraId="4AF7D41E" w14:textId="77777777" w:rsidR="000E2895" w:rsidRDefault="000E2895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525C5BC7" w14:textId="3357D0F3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4</w:t>
      </w:r>
    </w:p>
    <w:p w14:paraId="0F53C770" w14:textId="3325209E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Princip prinosa prilikom izbora imovine u koju se deponuju i ulažu sredstva tehničkih rezervi ostvaren je ako za cilj ima ostvarivanje prinosa u skladu sa tržišnim kretanjima.</w:t>
      </w:r>
    </w:p>
    <w:p w14:paraId="521C5E4F" w14:textId="77777777" w:rsidR="000E2895" w:rsidRDefault="000E2895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1C16D5B4" w14:textId="06FA79B9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5</w:t>
      </w:r>
    </w:p>
    <w:p w14:paraId="30732DA4" w14:textId="550876DF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Princip prometljivosti prilikom izbora imovine u koju se deponuju i ulažu sredstva tehničkih rezervi ostvaren je ako se ta imovina može u kratkom roku zamijeniti za novac ili novčani ekvivalent.</w:t>
      </w:r>
    </w:p>
    <w:p w14:paraId="79B6B88C" w14:textId="77777777" w:rsidR="000E2895" w:rsidRDefault="000E2895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28B02808" w14:textId="77777777" w:rsidR="000E2895" w:rsidRDefault="000E2895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4DAAB6C2" w14:textId="2153D8C8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lastRenderedPageBreak/>
        <w:t>Član 6</w:t>
      </w:r>
    </w:p>
    <w:p w14:paraId="7EBFE2BC" w14:textId="69F5C76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Sredstva tehničkih rezervi deponuju se i ulažu, pored imovine iz člana 90 stav 1 Zakona o osiguranju (u daljem tekstu: Zakon), i u:</w:t>
      </w:r>
    </w:p>
    <w:p w14:paraId="49A78814" w14:textId="77777777" w:rsid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nepokretnosti, pod uslovom da:</w:t>
      </w:r>
    </w:p>
    <w:p w14:paraId="6A45AC1C" w14:textId="77777777" w:rsidR="00577B0E" w:rsidRDefault="004321F6" w:rsidP="000E289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je vlasništvo nad tim nepokretnostima upisano u katastar nepokretnosti u Crnoj Gori u korist društva za osiguranje,</w:t>
      </w:r>
    </w:p>
    <w:p w14:paraId="3BDDACD8" w14:textId="77777777" w:rsidR="00577B0E" w:rsidRDefault="004321F6" w:rsidP="000E289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donose prihod,</w:t>
      </w:r>
    </w:p>
    <w:p w14:paraId="3F08D341" w14:textId="77777777" w:rsidR="00577B0E" w:rsidRDefault="004321F6" w:rsidP="000E289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je vrijednost nepokretnosti određena u skladu sa međunarodnim računovodstvenim standardima,</w:t>
      </w:r>
    </w:p>
    <w:p w14:paraId="70D81156" w14:textId="509D2FEA" w:rsidR="004321F6" w:rsidRPr="00577B0E" w:rsidRDefault="004321F6" w:rsidP="000E289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nad nepokretnostima nije upisan teret;</w:t>
      </w:r>
    </w:p>
    <w:p w14:paraId="0CD0F683" w14:textId="4194562A" w:rsidR="004321F6" w:rsidRP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dužničke hartije od vrijednosti koje su emitovane od strane države ili centralne banke države članice EU ili države članice OECD-a ili međunarodne finansijske organizacije kojoj pripada jedna ili više država članica EU, odnosno jedna ili više država članica OECD-a, odnosno u hartije od vrijednosti za koje je garanciju izdala država ili centralna banka države članice EU ili države članice OECD-a ili među</w:t>
      </w:r>
      <w:r w:rsidR="00A32F47" w:rsidRPr="00577B0E">
        <w:rPr>
          <w:rFonts w:cstheme="minorHAnsi"/>
          <w:color w:val="000000"/>
          <w:sz w:val="24"/>
          <w:szCs w:val="24"/>
          <w:lang w:val="sr-Latn-ME"/>
        </w:rPr>
        <w:t>narodne finansijske organizacije</w:t>
      </w:r>
      <w:r w:rsidRPr="00577B0E">
        <w:rPr>
          <w:rFonts w:cstheme="minorHAnsi"/>
          <w:color w:val="000000"/>
          <w:sz w:val="24"/>
          <w:szCs w:val="24"/>
          <w:lang w:val="sr-Latn-ME"/>
        </w:rPr>
        <w:t xml:space="preserve"> kojoj pripada jedna ili više država članica EU, odnosno jedna ili više država članica OECD-a, ako imaju ocjenu kreditnog rejtinga za dugoročno zaduživanje u domaćoj i stranoj valuti najmanje jednaku ocjeni tog kreditnog rejtinga Crne Gore prema agenciji Standard &amp; Poor</w:t>
      </w:r>
      <w:r w:rsidR="00D571B2" w:rsidRPr="00577B0E">
        <w:rPr>
          <w:rFonts w:cstheme="minorHAnsi"/>
          <w:color w:val="000000"/>
          <w:sz w:val="24"/>
          <w:szCs w:val="24"/>
          <w:lang w:val="sr-Latn-ME"/>
        </w:rPr>
        <w:t>'</w:t>
      </w:r>
      <w:r w:rsidRPr="00577B0E">
        <w:rPr>
          <w:rFonts w:cstheme="minorHAnsi"/>
          <w:color w:val="000000"/>
          <w:sz w:val="24"/>
          <w:szCs w:val="24"/>
          <w:lang w:val="sr-Latn-ME"/>
        </w:rPr>
        <w:t>s ili Fitch ili Moody</w:t>
      </w:r>
      <w:r w:rsidR="00D571B2" w:rsidRPr="00577B0E">
        <w:rPr>
          <w:rFonts w:cstheme="minorHAnsi"/>
          <w:color w:val="000000"/>
          <w:sz w:val="24"/>
          <w:szCs w:val="24"/>
          <w:lang w:val="sr-Latn-ME"/>
        </w:rPr>
        <w:t>'</w:t>
      </w:r>
      <w:r w:rsidRPr="00577B0E">
        <w:rPr>
          <w:rFonts w:cstheme="minorHAnsi"/>
          <w:color w:val="000000"/>
          <w:sz w:val="24"/>
          <w:szCs w:val="24"/>
          <w:lang w:val="sr-Latn-ME"/>
        </w:rPr>
        <w:t>s;</w:t>
      </w:r>
    </w:p>
    <w:p w14:paraId="23B9523A" w14:textId="5FCEDC35" w:rsidR="004321F6" w:rsidRP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obveznice i druge dužničke hartije od vrijednosti čiji je emitent jedinica lokalne samouprave u Crnoj Gori, državi članici EU ili državi članici OECD-a;</w:t>
      </w:r>
    </w:p>
    <w:p w14:paraId="2DC72022" w14:textId="2C81B5AC" w:rsidR="004321F6" w:rsidRP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obveznice i druge dužničke hartije od vrijednosti za koje je jedinica lokalne samouprave u Crnoj Gori, državi članici EU ili državi članici OECD-a izdala garanciju;</w:t>
      </w:r>
    </w:p>
    <w:p w14:paraId="19A86B26" w14:textId="28FB1500" w:rsidR="004321F6" w:rsidRP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 xml:space="preserve">dužničke hartije od vrijednosti stranih pravnih lica kojima se trguje na regulisanom tržištu u državama u kojima su registrovana, pod uslovom da su im agencije za procjenu boniteta </w:t>
      </w:r>
      <w:r w:rsidR="00D571B2" w:rsidRPr="00577B0E">
        <w:rPr>
          <w:rFonts w:cstheme="minorHAnsi"/>
          <w:color w:val="000000"/>
          <w:sz w:val="24"/>
          <w:szCs w:val="24"/>
          <w:lang w:val="sr-Latn-ME"/>
        </w:rPr>
        <w:t xml:space="preserve">Standard &amp; Poor's </w:t>
      </w:r>
      <w:r w:rsidRPr="00577B0E">
        <w:rPr>
          <w:rFonts w:cstheme="minorHAnsi"/>
          <w:color w:val="000000"/>
          <w:sz w:val="24"/>
          <w:szCs w:val="24"/>
          <w:lang w:val="sr-Latn-ME"/>
        </w:rPr>
        <w:t xml:space="preserve">ili Fitch utvrdile kreditni rejting sa najmanje A, odnosno </w:t>
      </w:r>
      <w:r w:rsidR="00D571B2" w:rsidRPr="00577B0E">
        <w:rPr>
          <w:rFonts w:cstheme="minorHAnsi"/>
          <w:color w:val="000000"/>
          <w:sz w:val="24"/>
          <w:szCs w:val="24"/>
          <w:lang w:val="sr-Latn-ME"/>
        </w:rPr>
        <w:t>Moody's</w:t>
      </w:r>
      <w:r w:rsidR="00D571B2" w:rsidRPr="00577B0E" w:rsidDel="00D571B2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sa najmanje A2;</w:t>
      </w:r>
    </w:p>
    <w:p w14:paraId="22054A54" w14:textId="6F9ADDF6" w:rsidR="004321F6" w:rsidRP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 xml:space="preserve">akcije stranih pravnih lica pod uslovom da su najmanje posljednje dvije godine uvrštene u berzansku kotaciju i ako imaju kreditni rejting koji su agencije za procjenu boniteta </w:t>
      </w:r>
      <w:r w:rsidR="00D571B2" w:rsidRPr="00577B0E">
        <w:rPr>
          <w:rFonts w:cstheme="minorHAnsi"/>
          <w:color w:val="000000"/>
          <w:sz w:val="24"/>
          <w:szCs w:val="24"/>
          <w:lang w:val="sr-Latn-ME"/>
        </w:rPr>
        <w:t xml:space="preserve">Standard &amp; Poor's </w:t>
      </w:r>
      <w:r w:rsidRPr="00577B0E">
        <w:rPr>
          <w:rFonts w:cstheme="minorHAnsi"/>
          <w:color w:val="000000"/>
          <w:sz w:val="24"/>
          <w:szCs w:val="24"/>
          <w:lang w:val="sr-Latn-ME"/>
        </w:rPr>
        <w:t xml:space="preserve">ili Fitch utvrdile sa najmanje A, odnosno </w:t>
      </w:r>
      <w:r w:rsidR="00D571B2" w:rsidRPr="00577B0E">
        <w:rPr>
          <w:rFonts w:cstheme="minorHAnsi"/>
          <w:color w:val="000000"/>
          <w:sz w:val="24"/>
          <w:szCs w:val="24"/>
          <w:lang w:val="sr-Latn-ME"/>
        </w:rPr>
        <w:t>Moody's</w:t>
      </w:r>
      <w:r w:rsidR="00D571B2" w:rsidRPr="00577B0E" w:rsidDel="00D571B2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sa najmanje A2;</w:t>
      </w:r>
    </w:p>
    <w:p w14:paraId="0B23885E" w14:textId="0762C52B" w:rsidR="004321F6" w:rsidRP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zajmove pravnim licima osigurane založnim pravom na nepokretnost, u visini do 60% tržišne vrijednosti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založene nepokretnosti, ako:</w:t>
      </w:r>
    </w:p>
    <w:p w14:paraId="3B4A3435" w14:textId="77777777" w:rsid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81144B">
        <w:rPr>
          <w:rFonts w:cstheme="minorHAnsi"/>
          <w:color w:val="000000"/>
          <w:sz w:val="24"/>
          <w:szCs w:val="24"/>
          <w:lang w:val="sr-Latn-ME"/>
        </w:rPr>
        <w:t>je ugovor zaključen na period do pet godina, sa kamatom i bez mogućnosti produženja roka otplate i bez grejs perioda,</w:t>
      </w:r>
    </w:p>
    <w:p w14:paraId="68747A85" w14:textId="77777777" w:rsid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ugovor ne predviđa jednokratnu isplatu glavnice po dospijeću,</w:t>
      </w:r>
    </w:p>
    <w:p w14:paraId="62169C72" w14:textId="77777777" w:rsid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je založno pravo u Crnoj Gori uknjiženo u katastaru nepokretnosti,</w:t>
      </w:r>
    </w:p>
    <w:p w14:paraId="58FBCEA5" w14:textId="77777777" w:rsid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vrijednost nepokretnosti utvrđena na osnovu procjene koju je sačinio ovlašćeni procjenitelj nekretnina, angažovan u tu svrhu od strane zajmodavca,</w:t>
      </w:r>
    </w:p>
    <w:p w14:paraId="03F0F690" w14:textId="77777777" w:rsid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lastRenderedPageBreak/>
        <w:t>procjena vrijednosti nepokretnosti nije starija od tri mjeseca od dana davanja zajma i sačinjena je u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skladu sa propisom kojim se uređuje metodologija za procjenu vrijednosti imovine pravnih i fizičkih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lica,</w:t>
      </w:r>
    </w:p>
    <w:p w14:paraId="33C0CF49" w14:textId="77777777" w:rsid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je zajmodavac utvrdio da u posljednje tri poslovne godine, koje prethode godini u kojoj se zaključuje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ugovor o zajmu, zajmoprimac nije bio kreditno nesposoban, na osnovu redovne procjene boniteta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izvršene u skladu sa internim aktom zajmodavca,</w:t>
      </w:r>
    </w:p>
    <w:p w14:paraId="2A8852E9" w14:textId="77777777" w:rsid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je založena nepokretnost prihvatljiva kao sredstvo obezbjeđenja u skladu sa internim aktima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osiguravača,</w:t>
      </w:r>
    </w:p>
    <w:p w14:paraId="43108853" w14:textId="4AE175C2" w:rsidR="004321F6" w:rsidRPr="00577B0E" w:rsidRDefault="004321F6" w:rsidP="000E289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je ugovorom predviđeno da će zajmodavac godišnje vršiti provjeru kreditne sposobnosti do potpune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otplate zajma;</w:t>
      </w:r>
    </w:p>
    <w:p w14:paraId="6C4AB6EF" w14:textId="33F10815" w:rsidR="004321F6" w:rsidRPr="00577B0E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udjele reosiguravača u tehničkim rezervama</w:t>
      </w:r>
      <w:r w:rsidR="00D621A4" w:rsidRPr="00577B0E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76BD39C2" w14:textId="225405A4" w:rsidR="005B3493" w:rsidRPr="00A41838" w:rsidRDefault="004321F6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investicione jedinice investicionih fondova koji su registrovani u Crnoj Gori, državi članici EU ili državi članici OECD-a</w:t>
      </w:r>
      <w:r w:rsidR="00D621A4" w:rsidRPr="00A41838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60244D7C" w14:textId="3C6D20E0" w:rsidR="0081144B" w:rsidRPr="00A41838" w:rsidRDefault="00014452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r-Latn-ME"/>
        </w:rPr>
      </w:pPr>
      <w:r w:rsidRPr="00A41838">
        <w:rPr>
          <w:rFonts w:cstheme="minorHAnsi"/>
          <w:sz w:val="24"/>
          <w:szCs w:val="24"/>
          <w:lang w:val="sr-Latn-ME"/>
        </w:rPr>
        <w:t>potraživanja od osiguranika po osnovu premije osiguranja i saosiguranja</w:t>
      </w:r>
      <w:r w:rsidR="00AD76A3" w:rsidRPr="00A41838">
        <w:rPr>
          <w:rFonts w:cstheme="minorHAnsi"/>
          <w:sz w:val="24"/>
          <w:szCs w:val="24"/>
          <w:lang w:val="sr-Latn-ME"/>
        </w:rPr>
        <w:t>,</w:t>
      </w:r>
      <w:r w:rsidRPr="00A41838">
        <w:rPr>
          <w:rFonts w:cstheme="minorHAnsi"/>
          <w:sz w:val="24"/>
          <w:szCs w:val="24"/>
          <w:lang w:val="sr-Latn-ME"/>
        </w:rPr>
        <w:t xml:space="preserve"> </w:t>
      </w:r>
      <w:r w:rsidR="00AD76A3" w:rsidRPr="00A41838">
        <w:rPr>
          <w:rFonts w:cstheme="minorHAnsi"/>
          <w:sz w:val="24"/>
          <w:szCs w:val="24"/>
          <w:lang w:val="sr-Latn-ME"/>
        </w:rPr>
        <w:t>ne starija</w:t>
      </w:r>
      <w:r w:rsidRPr="00A41838">
        <w:rPr>
          <w:rFonts w:cstheme="minorHAnsi"/>
          <w:sz w:val="24"/>
          <w:szCs w:val="24"/>
          <w:lang w:val="sr-Latn-ME"/>
        </w:rPr>
        <w:t xml:space="preserve"> </w:t>
      </w:r>
      <w:r w:rsidR="005D0DF4" w:rsidRPr="00A41838">
        <w:rPr>
          <w:rFonts w:cstheme="minorHAnsi"/>
          <w:sz w:val="24"/>
          <w:szCs w:val="24"/>
          <w:lang w:val="sr-Latn-ME"/>
        </w:rPr>
        <w:t>od</w:t>
      </w:r>
      <w:r w:rsidRPr="00A41838">
        <w:rPr>
          <w:rFonts w:cstheme="minorHAnsi"/>
          <w:sz w:val="24"/>
          <w:szCs w:val="24"/>
          <w:lang w:val="sr-Latn-ME"/>
        </w:rPr>
        <w:t xml:space="preserve"> 90 dana </w:t>
      </w:r>
      <w:r w:rsidR="00D621A4" w:rsidRPr="00A41838">
        <w:rPr>
          <w:rFonts w:cstheme="minorHAnsi"/>
          <w:sz w:val="24"/>
          <w:szCs w:val="24"/>
          <w:lang w:val="sr-Latn-ME"/>
        </w:rPr>
        <w:t>i</w:t>
      </w:r>
    </w:p>
    <w:p w14:paraId="5C204062" w14:textId="4192FC14" w:rsidR="00D621A4" w:rsidRPr="00A41838" w:rsidRDefault="00D621A4" w:rsidP="000E28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sz w:val="24"/>
          <w:szCs w:val="24"/>
          <w:lang w:val="sr-Latn-ME"/>
        </w:rPr>
        <w:t>potraživanja od reosiguravača po osnovu nastalih šteta iz reosiguranja</w:t>
      </w:r>
      <w:r w:rsidR="00050C71" w:rsidRPr="00A41838">
        <w:rPr>
          <w:rFonts w:cstheme="minorHAnsi"/>
          <w:sz w:val="24"/>
          <w:szCs w:val="24"/>
          <w:lang w:val="sr-Latn-ME"/>
        </w:rPr>
        <w:t>,</w:t>
      </w:r>
      <w:r w:rsidRPr="00A41838">
        <w:rPr>
          <w:rFonts w:cstheme="minorHAnsi"/>
          <w:sz w:val="24"/>
          <w:szCs w:val="24"/>
          <w:lang w:val="sr-Latn-ME"/>
        </w:rPr>
        <w:t xml:space="preserve"> </w:t>
      </w:r>
      <w:r w:rsidR="00050C71" w:rsidRPr="00A41838">
        <w:rPr>
          <w:rFonts w:cstheme="minorHAnsi"/>
          <w:sz w:val="24"/>
          <w:szCs w:val="24"/>
          <w:lang w:val="sr-Latn-ME"/>
        </w:rPr>
        <w:t>ne starija od 90 dana</w:t>
      </w:r>
      <w:r w:rsidRPr="00A41838">
        <w:rPr>
          <w:rFonts w:cstheme="minorHAnsi"/>
          <w:sz w:val="24"/>
          <w:szCs w:val="24"/>
          <w:lang w:val="sr-Latn-ME"/>
        </w:rPr>
        <w:t>.</w:t>
      </w:r>
    </w:p>
    <w:p w14:paraId="7A7443D2" w14:textId="1BC646E8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Sredstva tehničkih rezervi mogu se ulagati u investicione jedinice investicionih fondova koji su registrovani u državi članici</w:t>
      </w:r>
      <w:r w:rsidRPr="00F66D3C">
        <w:rPr>
          <w:rFonts w:cstheme="minorHAnsi"/>
          <w:color w:val="000000"/>
          <w:sz w:val="24"/>
          <w:szCs w:val="24"/>
          <w:lang w:val="sr-Latn-ME"/>
        </w:rPr>
        <w:t xml:space="preserve"> EU ili državi članici OECD</w:t>
      </w:r>
      <w:r w:rsidR="00577B0E">
        <w:rPr>
          <w:rFonts w:cstheme="minorHAnsi"/>
          <w:color w:val="000000"/>
          <w:sz w:val="24"/>
          <w:szCs w:val="24"/>
          <w:lang w:val="sr-Latn-ME"/>
        </w:rPr>
        <w:t>-a</w:t>
      </w:r>
      <w:r w:rsidRPr="00F66D3C">
        <w:rPr>
          <w:rFonts w:cstheme="minorHAnsi"/>
          <w:color w:val="000000"/>
          <w:sz w:val="24"/>
          <w:szCs w:val="24"/>
          <w:lang w:val="sr-Latn-ME"/>
        </w:rPr>
        <w:t>, pod uslovom da kreditni rejting za dugoročni dug države članice EU ili OECD, u kojoj je registrovan investicioni fond, nije niži od kreditnog rejtinga koji ima Crna Gora, da investiciona politika investicionog fonda dozvoljava zaključivanje opcijskih i terminskih poslova isključivo u cilju zaštite imovine i obaveza investicionog fonda i da investicioni fond nije registrovan na teritorijama u kojima je izvršeno oslobođenje od plaćanja poreza odnosno u kojima se primjenjuju minimalne poreske stope (off-shore zone).</w:t>
      </w:r>
    </w:p>
    <w:p w14:paraId="0A47586D" w14:textId="28BDE9A6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Pored imovine iz stava 1 ovog člana, sredstva matematičke rezerve mogu se ulagati i u avanse i zajmove date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osiguranicima do visine iznosa otkupne vrijednosti osiguranja na osnovu ugovora o životnom osiguranju.</w:t>
      </w:r>
    </w:p>
    <w:p w14:paraId="025E765B" w14:textId="0E8CEC9E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Sredstva tehničkih rezervi mogu se deponovati i ulagati u imovinu lica, povezanih sa društvom za osiguranje iz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člana 24 Zakona, ukupno do 20% od ukupnog iznosa tehničkih rezervi, a pojedinačno do ograničenja iz čl. 7 i 9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ovog pravilnika.</w:t>
      </w:r>
    </w:p>
    <w:p w14:paraId="7CBFBFF8" w14:textId="67923A0A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Ograničenja deponovanja i ulaganja iz stava 4 ovog člana ne odnose se na udjele reosiguravača u tehničkim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rezervama.</w:t>
      </w:r>
    </w:p>
    <w:p w14:paraId="532C15A4" w14:textId="77777777" w:rsidR="000E2895" w:rsidRDefault="000E2895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633497A2" w14:textId="74AE0614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7</w:t>
      </w:r>
    </w:p>
    <w:p w14:paraId="60148E54" w14:textId="1DDC2ABE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Sredstva tehničkih rezervi deponuju se i ulažu u imovinu propisanu članom 90 Zakona i članom 6 ovog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pravilnika do određenog iznosa, i to:</w:t>
      </w:r>
    </w:p>
    <w:p w14:paraId="58F747AE" w14:textId="40A9E68C" w:rsidR="00577B0E" w:rsidRPr="004A4F46" w:rsidRDefault="004321F6" w:rsidP="004A4F46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4A4F46">
        <w:rPr>
          <w:rFonts w:cstheme="minorHAnsi"/>
          <w:color w:val="000000"/>
          <w:sz w:val="24"/>
          <w:szCs w:val="24"/>
          <w:lang w:val="sr-Latn-ME"/>
        </w:rPr>
        <w:t>za ukupna deponovanja i ulaganja</w:t>
      </w:r>
      <w:r w:rsidR="001D3FEF" w:rsidRPr="004A4F46">
        <w:rPr>
          <w:rFonts w:cstheme="minorHAnsi"/>
          <w:color w:val="000000"/>
          <w:sz w:val="24"/>
          <w:szCs w:val="24"/>
          <w:lang w:val="sr-Latn-ME"/>
        </w:rPr>
        <w:t>:</w:t>
      </w:r>
    </w:p>
    <w:p w14:paraId="0C58341B" w14:textId="77777777" w:rsidR="00577B0E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do 30% u imovinu iz člana 6 stav 1 tačka 1 ovog pravilnika</w:t>
      </w:r>
      <w:r w:rsidR="00D621A4" w:rsidRPr="00577B0E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02D8DDDC" w14:textId="77777777" w:rsidR="00577B0E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lastRenderedPageBreak/>
        <w:t>do 30% u imovinu iz člana 6 stav 1 tač. 2, 5 i 6 ovog pravilnika i u hartije od vrijednosti koje su</w:t>
      </w:r>
      <w:r w:rsidR="00FD4E6A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emitovane od strane centralnih banaka i vlada stranih zemalja i koje imaju ocjenu najmanje A,</w:t>
      </w:r>
      <w:r w:rsidR="00FD4E6A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odnosno njen ekvivalent, dodijeljenu od strane opšteprihvaćenih, međunarodno priznatih agencija za</w:t>
      </w:r>
      <w:r w:rsidR="00FD4E6A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dodjelu rejtinga</w:t>
      </w:r>
      <w:r w:rsidR="00D621A4" w:rsidRPr="00577B0E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222FF6D3" w14:textId="77777777" w:rsidR="00577B0E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do 30% u imovinu iz člana 6 stav 1 tač. 3 i 4 ovog pravilnika</w:t>
      </w:r>
      <w:r w:rsidR="00D621A4" w:rsidRPr="00577B0E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2A64562A" w14:textId="77777777" w:rsidR="00577B0E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do 100% u depozite kod banaka sa sjedištem u Crnoj Gori</w:t>
      </w:r>
      <w:r w:rsidR="00D621A4" w:rsidRPr="00577B0E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6015B260" w14:textId="77777777" w:rsidR="00577B0E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do 25% u obveznice, odnosno druge dužničke hartije od vrijednosti kojima se trguje na regulisanom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tržištu hartija od vrijednosti u Crnoj Gori</w:t>
      </w:r>
      <w:r w:rsidR="00D621A4" w:rsidRPr="00577B0E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1E49ECE9" w14:textId="77777777" w:rsidR="00577B0E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do 30% u akcije kojima se trguje na regulisanom t</w:t>
      </w:r>
      <w:r w:rsidR="0081144B" w:rsidRPr="00577B0E">
        <w:rPr>
          <w:rFonts w:cstheme="minorHAnsi"/>
          <w:color w:val="000000"/>
          <w:sz w:val="24"/>
          <w:szCs w:val="24"/>
          <w:lang w:val="sr-Latn-ME"/>
        </w:rPr>
        <w:t xml:space="preserve">ržištu hartija od vrijednosti u </w:t>
      </w:r>
      <w:r w:rsidRPr="00577B0E">
        <w:rPr>
          <w:rFonts w:cstheme="minorHAnsi"/>
          <w:color w:val="000000"/>
          <w:sz w:val="24"/>
          <w:szCs w:val="24"/>
          <w:lang w:val="sr-Latn-ME"/>
        </w:rPr>
        <w:t>Crnoj Gori</w:t>
      </w:r>
      <w:r w:rsidR="00D621A4" w:rsidRPr="00577B0E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5A10279F" w14:textId="77777777" w:rsidR="00577B0E" w:rsidRPr="00A41838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577B0E">
        <w:rPr>
          <w:rFonts w:cstheme="minorHAnsi"/>
          <w:color w:val="000000"/>
          <w:sz w:val="24"/>
          <w:szCs w:val="24"/>
          <w:lang w:val="sr-Latn-ME"/>
        </w:rPr>
        <w:t>do 5% u obveznice, odnosno druge dužničke hartije od vrijednosti kojima se ne trguje na regulisanom</w:t>
      </w:r>
      <w:r w:rsidR="005900C5" w:rsidRPr="00577B0E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577B0E">
        <w:rPr>
          <w:rFonts w:cstheme="minorHAnsi"/>
          <w:color w:val="000000"/>
          <w:sz w:val="24"/>
          <w:szCs w:val="24"/>
          <w:lang w:val="sr-Latn-ME"/>
        </w:rPr>
        <w:t xml:space="preserve">tržištu hartija od vrijednosti, ako je emitent pravno lice sa sjedištem u </w:t>
      </w:r>
      <w:r w:rsidRPr="00A41838">
        <w:rPr>
          <w:rFonts w:cstheme="minorHAnsi"/>
          <w:color w:val="000000"/>
          <w:sz w:val="24"/>
          <w:szCs w:val="24"/>
          <w:lang w:val="sr-Latn-ME"/>
        </w:rPr>
        <w:t>Crnoj Gori</w:t>
      </w:r>
      <w:r w:rsidR="00D621A4" w:rsidRPr="00A41838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4437B38C" w14:textId="6C6C56B3" w:rsidR="00577B0E" w:rsidRPr="00A41838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do </w:t>
      </w:r>
      <w:r w:rsidR="003B685F" w:rsidRPr="00A41838">
        <w:rPr>
          <w:rFonts w:cstheme="minorHAnsi"/>
          <w:color w:val="000000"/>
          <w:sz w:val="24"/>
          <w:szCs w:val="24"/>
          <w:lang w:val="sr-Latn-ME"/>
        </w:rPr>
        <w:t>3</w:t>
      </w:r>
      <w:r w:rsidRPr="00A41838">
        <w:rPr>
          <w:rFonts w:cstheme="minorHAnsi"/>
          <w:color w:val="000000"/>
          <w:sz w:val="24"/>
          <w:szCs w:val="24"/>
          <w:lang w:val="sr-Latn-ME"/>
        </w:rPr>
        <w:t>% na poslovnom računu društva za osiguranje</w:t>
      </w:r>
      <w:r w:rsidR="00D621A4" w:rsidRPr="00A41838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3067BE65" w14:textId="64DFB447" w:rsidR="00577B0E" w:rsidRPr="00A41838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do 25% u imovinu iz člana 6 stav 1 tačka </w:t>
      </w:r>
      <w:r w:rsidR="00577B0E" w:rsidRPr="00A41838">
        <w:rPr>
          <w:rFonts w:cstheme="minorHAnsi"/>
          <w:color w:val="000000"/>
          <w:sz w:val="24"/>
          <w:szCs w:val="24"/>
          <w:lang w:val="sr-Latn-ME"/>
        </w:rPr>
        <w:t>9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ovog pravilnika, a za ulaganja u investicione fondove kojima</w:t>
      </w:r>
      <w:r w:rsidR="005900C5" w:rsidRPr="00A41838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A41838">
        <w:rPr>
          <w:rFonts w:cstheme="minorHAnsi"/>
          <w:color w:val="000000"/>
          <w:sz w:val="24"/>
          <w:szCs w:val="24"/>
          <w:lang w:val="sr-Latn-ME"/>
        </w:rPr>
        <w:t>upravlja isto društvo za upravljanje ili su investicioni fondovi međusobno povezana lica do 15%</w:t>
      </w:r>
      <w:r w:rsidR="00D621A4" w:rsidRPr="00A41838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4DE89954" w14:textId="63FDD250" w:rsidR="00577B0E" w:rsidRPr="00A41838" w:rsidRDefault="004321F6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do 5% u zajmove pravnim licima iz člana 6 stav 1 tačka </w:t>
      </w:r>
      <w:r w:rsidR="00577B0E" w:rsidRPr="00A41838">
        <w:rPr>
          <w:rFonts w:cstheme="minorHAnsi"/>
          <w:color w:val="000000"/>
          <w:sz w:val="24"/>
          <w:szCs w:val="24"/>
          <w:lang w:val="sr-Latn-ME"/>
        </w:rPr>
        <w:t>7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ovog pravilnika</w:t>
      </w:r>
      <w:r w:rsidR="00D621A4" w:rsidRPr="00A41838">
        <w:rPr>
          <w:rFonts w:cstheme="minorHAnsi"/>
          <w:color w:val="000000"/>
          <w:sz w:val="24"/>
          <w:szCs w:val="24"/>
          <w:lang w:val="sr-Latn-ME"/>
        </w:rPr>
        <w:t>,</w:t>
      </w:r>
    </w:p>
    <w:p w14:paraId="487F8162" w14:textId="65534BE1" w:rsidR="00577B0E" w:rsidRPr="00A41838" w:rsidRDefault="00D621A4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sz w:val="24"/>
          <w:szCs w:val="24"/>
          <w:lang w:val="sr-Latn-ME"/>
        </w:rPr>
        <w:t xml:space="preserve">do 10% u </w:t>
      </w:r>
      <w:r w:rsidR="00050C71" w:rsidRPr="00A41838">
        <w:rPr>
          <w:rFonts w:cstheme="minorHAnsi"/>
          <w:sz w:val="24"/>
          <w:szCs w:val="24"/>
          <w:lang w:val="sr-Latn-ME"/>
        </w:rPr>
        <w:t xml:space="preserve">potraživanja od osiguranika </w:t>
      </w:r>
      <w:r w:rsidRPr="00A41838">
        <w:rPr>
          <w:rFonts w:cstheme="minorHAnsi"/>
          <w:sz w:val="24"/>
          <w:szCs w:val="24"/>
          <w:lang w:val="sr-Latn-ME"/>
        </w:rPr>
        <w:t xml:space="preserve">iz člana 6 stav 1 tačka </w:t>
      </w:r>
      <w:r w:rsidR="003C01FF" w:rsidRPr="00A41838">
        <w:rPr>
          <w:rFonts w:cstheme="minorHAnsi"/>
          <w:sz w:val="24"/>
          <w:szCs w:val="24"/>
          <w:lang w:val="sr-Latn-ME"/>
        </w:rPr>
        <w:t>10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="009E3D27" w:rsidRPr="00A41838">
        <w:rPr>
          <w:rFonts w:cstheme="minorHAnsi"/>
          <w:color w:val="000000"/>
          <w:sz w:val="24"/>
          <w:szCs w:val="24"/>
          <w:lang w:val="sr-Latn-ME"/>
        </w:rPr>
        <w:t>ovog pravilnika</w:t>
      </w:r>
      <w:r w:rsidR="00946590" w:rsidRPr="00A41838">
        <w:rPr>
          <w:rFonts w:cstheme="minorHAnsi"/>
          <w:color w:val="000000"/>
          <w:sz w:val="24"/>
          <w:szCs w:val="24"/>
          <w:lang w:val="sr-Latn-ME"/>
        </w:rPr>
        <w:t>;</w:t>
      </w:r>
    </w:p>
    <w:p w14:paraId="7F48B9AB" w14:textId="0BD13D04" w:rsidR="00D621A4" w:rsidRPr="00A41838" w:rsidRDefault="00D621A4" w:rsidP="000E28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sz w:val="24"/>
          <w:szCs w:val="24"/>
          <w:lang w:val="sr-Latn-ME"/>
        </w:rPr>
        <w:t>do 10% u potraživanja od reosiguravača iz člana 6 stav 1 tačka 1</w:t>
      </w:r>
      <w:r w:rsidR="003C01FF" w:rsidRPr="00A41838">
        <w:rPr>
          <w:rFonts w:cstheme="minorHAnsi"/>
          <w:sz w:val="24"/>
          <w:szCs w:val="24"/>
          <w:lang w:val="sr-Latn-ME"/>
        </w:rPr>
        <w:t>1</w:t>
      </w:r>
      <w:r w:rsidR="00D401A8" w:rsidRPr="00A41838">
        <w:rPr>
          <w:rFonts w:cstheme="minorHAnsi"/>
          <w:sz w:val="24"/>
          <w:szCs w:val="24"/>
          <w:lang w:val="sr-Latn-ME"/>
        </w:rPr>
        <w:t xml:space="preserve"> </w:t>
      </w:r>
      <w:r w:rsidR="009E3D27" w:rsidRPr="00A41838">
        <w:rPr>
          <w:rFonts w:cstheme="minorHAnsi"/>
          <w:sz w:val="24"/>
          <w:szCs w:val="24"/>
          <w:lang w:val="sr-Latn-ME"/>
        </w:rPr>
        <w:t>ovog pravilnika</w:t>
      </w:r>
      <w:r w:rsidRPr="00A41838">
        <w:rPr>
          <w:rFonts w:cstheme="minorHAnsi"/>
          <w:sz w:val="24"/>
          <w:szCs w:val="24"/>
          <w:lang w:val="sr-Latn-ME"/>
        </w:rPr>
        <w:t>.</w:t>
      </w:r>
    </w:p>
    <w:p w14:paraId="50A41E36" w14:textId="77777777" w:rsidR="009E3D27" w:rsidRPr="00A41838" w:rsidRDefault="009E3D27" w:rsidP="000E2895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</w:p>
    <w:p w14:paraId="7F1F8833" w14:textId="2680ECA5" w:rsidR="004321F6" w:rsidRPr="00A41838" w:rsidRDefault="004321F6" w:rsidP="004A4F46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za pojedinačna deponovanja i ulaganja:</w:t>
      </w:r>
    </w:p>
    <w:p w14:paraId="43366897" w14:textId="77777777" w:rsidR="009E3D27" w:rsidRPr="00A41838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do 10% u jednu nepokretnost, odnosno u više nepokretnosti koje su međusobno povezane, </w:t>
      </w:r>
      <w:r w:rsidR="00FD4E6A" w:rsidRPr="00A41838">
        <w:rPr>
          <w:rFonts w:cstheme="minorHAnsi"/>
          <w:color w:val="000000"/>
          <w:sz w:val="24"/>
          <w:szCs w:val="24"/>
          <w:lang w:val="sr-Latn-ME"/>
        </w:rPr>
        <w:t xml:space="preserve">i </w:t>
      </w:r>
      <w:r w:rsidRPr="00A41838">
        <w:rPr>
          <w:rFonts w:cstheme="minorHAnsi"/>
          <w:color w:val="000000"/>
          <w:sz w:val="24"/>
          <w:szCs w:val="24"/>
          <w:lang w:val="sr-Latn-ME"/>
        </w:rPr>
        <w:t>predstavljaju jedno ulaganje i ispunjavaju uslove iz člana 6 ovog pravilnika;</w:t>
      </w:r>
    </w:p>
    <w:p w14:paraId="080A3730" w14:textId="77777777" w:rsid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do 10% u hartije od vrijednosti istog emitenta iz imovine obuhvaćene članom 6 stav 1 tač. 2, 5 i 6 ovog</w:t>
      </w:r>
      <w:r w:rsidR="005900C5" w:rsidRPr="00A41838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A41838">
        <w:rPr>
          <w:rFonts w:cstheme="minorHAnsi"/>
          <w:color w:val="000000"/>
          <w:sz w:val="24"/>
          <w:szCs w:val="24"/>
          <w:lang w:val="sr-Latn-ME"/>
        </w:rPr>
        <w:t>pravilnika i u hartije od vrijednosti koje su</w:t>
      </w:r>
      <w:r w:rsidRPr="009E3D27">
        <w:rPr>
          <w:rFonts w:cstheme="minorHAnsi"/>
          <w:color w:val="000000"/>
          <w:sz w:val="24"/>
          <w:szCs w:val="24"/>
          <w:lang w:val="sr-Latn-ME"/>
        </w:rPr>
        <w:t xml:space="preserve"> emitovane od strane centralnih banaka i vlada stranih</w:t>
      </w:r>
      <w:r w:rsidR="00FD4E6A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zemalja i koje imaju ocjenu najmanje A, odnosno njen ekvivalent, dodijeljenu od strane</w:t>
      </w:r>
      <w:r w:rsidR="00FD4E6A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opšteprihvaćenih, međunarodno priznatih agencija za dodjelu rejtinga;</w:t>
      </w:r>
    </w:p>
    <w:p w14:paraId="49139B0C" w14:textId="77777777" w:rsid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20% u obveznice i druge dužničke hartije od vrijednosti istog emitenta iz imovine obuhvaćene</w:t>
      </w:r>
      <w:r w:rsidR="00FD4E6A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članom 6 stav 1 tač. 3 i 4 ovog pravilnika;</w:t>
      </w:r>
    </w:p>
    <w:p w14:paraId="38FF6F6B" w14:textId="77777777" w:rsid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20% u depozite kod jedne banke sa sjedištem u Crnoj Gori;</w:t>
      </w:r>
    </w:p>
    <w:p w14:paraId="41E6D996" w14:textId="77777777" w:rsid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5% u obveznice, odnosno druge dužničke hartije od vrijednosti kojima se trguje na regulisanom</w:t>
      </w:r>
      <w:r w:rsidR="00FD4E6A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tržištu hartija od vrijednosti u Crnoj Gori;</w:t>
      </w:r>
    </w:p>
    <w:p w14:paraId="053CC7D7" w14:textId="77777777" w:rsid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5% u akcije jednog izdavaoca kojima se trguje na regulisanom tržištu hartija od vrijednosti u Crnoj</w:t>
      </w:r>
      <w:r w:rsidR="005900C5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Gori;</w:t>
      </w:r>
    </w:p>
    <w:p w14:paraId="7BB75001" w14:textId="77777777" w:rsid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1% u obveznice, odnosno druge dužničke hartije od vrijednosti jednog emitenta kojima se ne trguje</w:t>
      </w:r>
      <w:r w:rsidR="005900C5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na regulisanom tržištu hartija od vrijednosti, ako je emitent pravno lice sa sjedištem u Crnoj Gori;</w:t>
      </w:r>
    </w:p>
    <w:p w14:paraId="53DB7BB2" w14:textId="5915F566" w:rsid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lastRenderedPageBreak/>
        <w:t xml:space="preserve">do 10% u investicione jedinice jednog investicionog fonda iz člana 6 stav 1 tačka </w:t>
      </w:r>
      <w:r w:rsidR="009E3D27">
        <w:rPr>
          <w:rFonts w:cstheme="minorHAnsi"/>
          <w:color w:val="000000"/>
          <w:sz w:val="24"/>
          <w:szCs w:val="24"/>
          <w:lang w:val="sr-Latn-ME"/>
        </w:rPr>
        <w:t>9 ovog pravilnika;</w:t>
      </w:r>
    </w:p>
    <w:p w14:paraId="5E08C986" w14:textId="3A742505" w:rsidR="004321F6" w:rsidRPr="009E3D27" w:rsidRDefault="004321F6" w:rsidP="000E2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 xml:space="preserve">do 1% u zajmove jednog pravnog lica iz člana 6 stav 1 tačka </w:t>
      </w:r>
      <w:r w:rsidR="009E3D27">
        <w:rPr>
          <w:rFonts w:cstheme="minorHAnsi"/>
          <w:color w:val="000000"/>
          <w:sz w:val="24"/>
          <w:szCs w:val="24"/>
          <w:lang w:val="sr-Latn-ME"/>
        </w:rPr>
        <w:t>7</w:t>
      </w:r>
      <w:r w:rsidR="009E3D27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ovog pravilnika.</w:t>
      </w:r>
    </w:p>
    <w:p w14:paraId="2BB00ADD" w14:textId="77777777" w:rsidR="00946590" w:rsidRDefault="00946590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1227F6BE" w14:textId="09A8CC3E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8</w:t>
      </w:r>
    </w:p>
    <w:p w14:paraId="650ABA99" w14:textId="397097F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Izuzetno od člana 7 ovog pravilnika, ograničenja prilikom ulaganja sredstava matematičke rezerve na ukupnom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nivou su:</w:t>
      </w:r>
    </w:p>
    <w:p w14:paraId="4DC969C5" w14:textId="77777777" w:rsidR="009E3D27" w:rsidRDefault="004321F6" w:rsidP="000E28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25% u akcije kojima se trguje na organizovanom tržištu hartija od vrijednosti u Crnoj Gori;</w:t>
      </w:r>
    </w:p>
    <w:p w14:paraId="79BD744D" w14:textId="77777777" w:rsidR="009E3D27" w:rsidRDefault="004321F6" w:rsidP="000E28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40% u nepokretnosti;</w:t>
      </w:r>
    </w:p>
    <w:p w14:paraId="142B26E1" w14:textId="7423A0FC" w:rsidR="004321F6" w:rsidRPr="009E3D27" w:rsidRDefault="004321F6" w:rsidP="000E28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9E3D27">
        <w:rPr>
          <w:rFonts w:cstheme="minorHAnsi"/>
          <w:color w:val="000000"/>
          <w:sz w:val="24"/>
          <w:szCs w:val="24"/>
          <w:lang w:val="sr-Latn-ME"/>
        </w:rPr>
        <w:t>do 30% u avanse i zajmove date osiguranicima zajedno do visine iznosa otkupne vrijednosti osiguranja na</w:t>
      </w:r>
      <w:r w:rsidR="005900C5" w:rsidRPr="009E3D27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9E3D27">
        <w:rPr>
          <w:rFonts w:cstheme="minorHAnsi"/>
          <w:color w:val="000000"/>
          <w:sz w:val="24"/>
          <w:szCs w:val="24"/>
          <w:lang w:val="sr-Latn-ME"/>
        </w:rPr>
        <w:t>osnovu ugovora o životnom osiguranju.</w:t>
      </w:r>
    </w:p>
    <w:p w14:paraId="6A7ABC60" w14:textId="1F799A53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Ograničenja iz stava 1 ovog člana primjenjuju se i na ukupne tehničke rezerve koje formira društvo za životno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osiguranje.</w:t>
      </w:r>
    </w:p>
    <w:p w14:paraId="51A3492C" w14:textId="77777777" w:rsidR="00946590" w:rsidRDefault="00946590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01998D10" w14:textId="69D9551E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9</w:t>
      </w:r>
    </w:p>
    <w:p w14:paraId="00CCFD39" w14:textId="155368BF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Sredstva posebnih rezervi za naknade osigurane ugovorom o osiguranju koje su direktno vezane za vrijednosti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ulaganja deponuju se i ulažu uz sljedeća ograničenja:</w:t>
      </w:r>
    </w:p>
    <w:p w14:paraId="531B168C" w14:textId="77777777" w:rsidR="004321F6" w:rsidRPr="00F66D3C" w:rsidRDefault="004321F6" w:rsidP="000E289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- do 50% u investicione jedinice jednog investicionog fonda;</w:t>
      </w:r>
    </w:p>
    <w:p w14:paraId="28153B84" w14:textId="04373242" w:rsidR="004321F6" w:rsidRPr="00F66D3C" w:rsidRDefault="004321F6" w:rsidP="000E289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- do 70% u investicione jedinice investicionih fondova kojima upravlja isto društvo za upravljanje ili su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investicioni fondovi međusobno povezana lica.</w:t>
      </w:r>
    </w:p>
    <w:p w14:paraId="743DBA6C" w14:textId="72F96585" w:rsidR="004321F6" w:rsidRDefault="004321F6" w:rsidP="0094659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Investicioni fondovi u čije se jedinice ulažu sredstva iz stava 1 ovog člana, pored uslova iz člana 6 stav 2 ovog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pravilnika, ne smiju da imaju neto imovinu pojedinog fonda manju od 100 miliona eura.</w:t>
      </w:r>
    </w:p>
    <w:p w14:paraId="64B892B4" w14:textId="77777777" w:rsidR="00946590" w:rsidRPr="00F66D3C" w:rsidRDefault="00946590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</w:p>
    <w:p w14:paraId="584ACCF6" w14:textId="77777777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F66D3C">
        <w:rPr>
          <w:rFonts w:cstheme="minorHAnsi"/>
          <w:b/>
          <w:bCs/>
          <w:color w:val="000000"/>
          <w:sz w:val="24"/>
          <w:szCs w:val="24"/>
          <w:lang w:val="sr-Latn-ME"/>
        </w:rPr>
        <w:t>Član 10</w:t>
      </w:r>
    </w:p>
    <w:p w14:paraId="203F206A" w14:textId="09FE3165" w:rsidR="004321F6" w:rsidRPr="00F66D3C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F66D3C">
        <w:rPr>
          <w:rFonts w:cstheme="minorHAnsi"/>
          <w:color w:val="000000"/>
          <w:sz w:val="24"/>
          <w:szCs w:val="24"/>
          <w:lang w:val="sr-Latn-ME"/>
        </w:rPr>
        <w:t>Ograničenja iz čl. 7 i 8 ovog pravilnika ne odnose se na obveznice i druge dužničke hartije od vrijednosti koje je</w:t>
      </w:r>
      <w:r w:rsidR="005900C5" w:rsidRPr="00F66D3C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F66D3C">
        <w:rPr>
          <w:rFonts w:cstheme="minorHAnsi"/>
          <w:color w:val="000000"/>
          <w:sz w:val="24"/>
          <w:szCs w:val="24"/>
          <w:lang w:val="sr-Latn-ME"/>
        </w:rPr>
        <w:t>izdala država Crna Gora ili za koje je država Crna Gora izdala garanciju.</w:t>
      </w:r>
    </w:p>
    <w:p w14:paraId="5B531079" w14:textId="77777777" w:rsidR="00946590" w:rsidRDefault="00946590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30CB4964" w14:textId="52106DD9" w:rsidR="004321F6" w:rsidRPr="00A41838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A41838">
        <w:rPr>
          <w:rFonts w:cstheme="minorHAnsi"/>
          <w:b/>
          <w:bCs/>
          <w:color w:val="000000"/>
          <w:sz w:val="24"/>
          <w:szCs w:val="24"/>
          <w:lang w:val="sr-Latn-ME"/>
        </w:rPr>
        <w:t>Član 11</w:t>
      </w:r>
    </w:p>
    <w:p w14:paraId="01CB54BA" w14:textId="627D6D3A" w:rsidR="004321F6" w:rsidRPr="00A41838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Odredba člana 10 ovog pravilnika primjenjivaće se do dana pristupanja Crne Gore Evropskoj uniji.</w:t>
      </w:r>
    </w:p>
    <w:p w14:paraId="00D443AF" w14:textId="0FFBC479" w:rsidR="00014452" w:rsidRPr="00A41838" w:rsidRDefault="00014452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Odredbe člana 6</w:t>
      </w:r>
      <w:r w:rsidRPr="00A41838">
        <w:t xml:space="preserve"> </w:t>
      </w:r>
      <w:r w:rsidRPr="00A41838">
        <w:rPr>
          <w:rFonts w:cstheme="minorHAnsi"/>
          <w:color w:val="000000"/>
          <w:sz w:val="24"/>
          <w:szCs w:val="24"/>
          <w:lang w:val="sr-Latn-ME"/>
        </w:rPr>
        <w:t>stav 1 tač</w:t>
      </w:r>
      <w:r w:rsidR="00946590" w:rsidRPr="00A41838">
        <w:rPr>
          <w:rFonts w:cstheme="minorHAnsi"/>
          <w:color w:val="000000"/>
          <w:sz w:val="24"/>
          <w:szCs w:val="24"/>
          <w:lang w:val="sr-Latn-ME"/>
        </w:rPr>
        <w:t>.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="0009728F" w:rsidRPr="00A41838">
        <w:rPr>
          <w:rFonts w:cstheme="minorHAnsi"/>
          <w:color w:val="000000"/>
          <w:sz w:val="24"/>
          <w:szCs w:val="24"/>
          <w:lang w:val="sr-Latn-ME"/>
        </w:rPr>
        <w:t>10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i 1</w:t>
      </w:r>
      <w:r w:rsidR="0009728F" w:rsidRPr="00A41838">
        <w:rPr>
          <w:rFonts w:cstheme="minorHAnsi"/>
          <w:color w:val="000000"/>
          <w:sz w:val="24"/>
          <w:szCs w:val="24"/>
          <w:lang w:val="sr-Latn-ME"/>
        </w:rPr>
        <w:t>1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primjenjivaće se do 31.12.2023. godine.</w:t>
      </w:r>
    </w:p>
    <w:p w14:paraId="291C2C8B" w14:textId="77777777" w:rsidR="003B685F" w:rsidRPr="00A41838" w:rsidRDefault="003B685F" w:rsidP="003B685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bookmarkStart w:id="0" w:name="_Hlk114482022"/>
    </w:p>
    <w:p w14:paraId="7C21F73B" w14:textId="1D6B28BB" w:rsidR="003B685F" w:rsidRPr="00A41838" w:rsidRDefault="003B685F" w:rsidP="003B685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A41838">
        <w:rPr>
          <w:rFonts w:cstheme="minorHAnsi"/>
          <w:b/>
          <w:bCs/>
          <w:color w:val="000000"/>
          <w:sz w:val="24"/>
          <w:szCs w:val="24"/>
          <w:lang w:val="sr-Latn-ME"/>
        </w:rPr>
        <w:t>Član 12</w:t>
      </w:r>
    </w:p>
    <w:p w14:paraId="10B7207D" w14:textId="38117408" w:rsidR="00014452" w:rsidRPr="00A41838" w:rsidRDefault="00014452" w:rsidP="0094659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Odredba člana 7 stav 1 tačka 1 alineja 8 primjenjivaće se o</w:t>
      </w:r>
      <w:r w:rsidR="003B685F" w:rsidRPr="00A41838">
        <w:rPr>
          <w:rFonts w:cstheme="minorHAnsi"/>
          <w:color w:val="000000"/>
          <w:sz w:val="24"/>
          <w:szCs w:val="24"/>
          <w:lang w:val="sr-Latn-ME"/>
        </w:rPr>
        <w:t>d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="003B685F" w:rsidRPr="00A41838">
        <w:rPr>
          <w:rFonts w:cstheme="minorHAnsi"/>
          <w:color w:val="000000"/>
          <w:sz w:val="24"/>
          <w:szCs w:val="24"/>
          <w:lang w:val="sr-Latn-ME"/>
        </w:rPr>
        <w:t>0</w:t>
      </w:r>
      <w:r w:rsidRPr="00A41838">
        <w:rPr>
          <w:rFonts w:cstheme="minorHAnsi"/>
          <w:color w:val="000000"/>
          <w:sz w:val="24"/>
          <w:szCs w:val="24"/>
          <w:lang w:val="sr-Latn-ME"/>
        </w:rPr>
        <w:t>1.</w:t>
      </w:r>
      <w:r w:rsidR="003B685F" w:rsidRPr="00A41838">
        <w:rPr>
          <w:rFonts w:cstheme="minorHAnsi"/>
          <w:color w:val="000000"/>
          <w:sz w:val="24"/>
          <w:szCs w:val="24"/>
          <w:lang w:val="sr-Latn-ME"/>
        </w:rPr>
        <w:t>01</w:t>
      </w:r>
      <w:r w:rsidRPr="00A41838">
        <w:rPr>
          <w:rFonts w:cstheme="minorHAnsi"/>
          <w:color w:val="000000"/>
          <w:sz w:val="24"/>
          <w:szCs w:val="24"/>
          <w:lang w:val="sr-Latn-ME"/>
        </w:rPr>
        <w:t>.202</w:t>
      </w:r>
      <w:r w:rsidR="003B685F" w:rsidRPr="00A41838">
        <w:rPr>
          <w:rFonts w:cstheme="minorHAnsi"/>
          <w:color w:val="000000"/>
          <w:sz w:val="24"/>
          <w:szCs w:val="24"/>
          <w:lang w:val="sr-Latn-ME"/>
        </w:rPr>
        <w:t>4</w:t>
      </w:r>
      <w:r w:rsidRPr="00A41838">
        <w:rPr>
          <w:rFonts w:cstheme="minorHAnsi"/>
          <w:color w:val="000000"/>
          <w:sz w:val="24"/>
          <w:szCs w:val="24"/>
          <w:lang w:val="sr-Latn-ME"/>
        </w:rPr>
        <w:t>. godine</w:t>
      </w:r>
      <w:r w:rsidR="003B685F" w:rsidRPr="00A41838">
        <w:rPr>
          <w:rFonts w:cstheme="minorHAnsi"/>
          <w:color w:val="000000"/>
          <w:sz w:val="24"/>
          <w:szCs w:val="24"/>
          <w:lang w:val="sr-Latn-ME"/>
        </w:rPr>
        <w:t>.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bookmarkEnd w:id="0"/>
    </w:p>
    <w:p w14:paraId="2EFA622B" w14:textId="08266583" w:rsidR="003B685F" w:rsidRPr="00A41838" w:rsidRDefault="003B685F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Do početka primjene ograničenja iz stava 1 ovog člana, ograničenje za ulaganja tehničkih rezervi na poslovni račun društva za osiguranje na ukupnom nivou iznosiće 10%.</w:t>
      </w:r>
    </w:p>
    <w:p w14:paraId="46C9908D" w14:textId="77777777" w:rsidR="00946590" w:rsidRPr="00A41838" w:rsidRDefault="00946590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5AC37ED2" w14:textId="77777777" w:rsidR="004A4F46" w:rsidRPr="00A41838" w:rsidRDefault="004A4F4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707E1D6A" w14:textId="51F262C2" w:rsidR="004321F6" w:rsidRPr="00A41838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A41838">
        <w:rPr>
          <w:rFonts w:cstheme="minorHAnsi"/>
          <w:b/>
          <w:bCs/>
          <w:color w:val="000000"/>
          <w:sz w:val="24"/>
          <w:szCs w:val="24"/>
          <w:lang w:val="sr-Latn-ME"/>
        </w:rPr>
        <w:lastRenderedPageBreak/>
        <w:t>Član 1</w:t>
      </w:r>
      <w:r w:rsidR="003B685F" w:rsidRPr="00A41838">
        <w:rPr>
          <w:rFonts w:cstheme="minorHAnsi"/>
          <w:b/>
          <w:bCs/>
          <w:color w:val="000000"/>
          <w:sz w:val="24"/>
          <w:szCs w:val="24"/>
          <w:lang w:val="sr-Latn-ME"/>
        </w:rPr>
        <w:t>3</w:t>
      </w:r>
    </w:p>
    <w:p w14:paraId="4B2DC101" w14:textId="30FEEB91" w:rsidR="004321F6" w:rsidRPr="00A41838" w:rsidRDefault="004321F6" w:rsidP="004A4F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Danom stupanja na snagu ovog pravilnika prestaje da važi Pravilnik o deponovanju i ulaganju sredstava</w:t>
      </w:r>
      <w:r w:rsidR="005900C5" w:rsidRPr="00A41838">
        <w:rPr>
          <w:rFonts w:cstheme="minorHAnsi"/>
          <w:color w:val="000000"/>
          <w:sz w:val="24"/>
          <w:szCs w:val="24"/>
          <w:lang w:val="sr-Latn-ME"/>
        </w:rPr>
        <w:t xml:space="preserve"> </w:t>
      </w:r>
      <w:r w:rsidRPr="00A41838">
        <w:rPr>
          <w:rFonts w:cstheme="minorHAnsi"/>
          <w:color w:val="000000"/>
          <w:sz w:val="24"/>
          <w:szCs w:val="24"/>
          <w:lang w:val="sr-Latn-ME"/>
        </w:rPr>
        <w:t>tehničkih rezervi društva z</w:t>
      </w:r>
      <w:r w:rsidR="009E3D27" w:rsidRPr="00A41838">
        <w:rPr>
          <w:rFonts w:cstheme="minorHAnsi"/>
          <w:color w:val="000000"/>
          <w:sz w:val="24"/>
          <w:szCs w:val="24"/>
          <w:lang w:val="sr-Latn-ME"/>
        </w:rPr>
        <w:t>a osiguranje ("Službeni list Crne Gore</w:t>
      </w:r>
      <w:r w:rsidRPr="00A41838">
        <w:rPr>
          <w:rFonts w:cstheme="minorHAnsi"/>
          <w:color w:val="000000"/>
          <w:sz w:val="24"/>
          <w:szCs w:val="24"/>
          <w:lang w:val="sr-Latn-ME"/>
        </w:rPr>
        <w:t xml:space="preserve">", </w:t>
      </w:r>
      <w:r w:rsidR="009E3D27" w:rsidRPr="00A41838">
        <w:rPr>
          <w:rFonts w:cstheme="minorHAnsi"/>
          <w:color w:val="000000"/>
          <w:sz w:val="24"/>
          <w:szCs w:val="24"/>
          <w:lang w:val="sr-Latn-ME"/>
        </w:rPr>
        <w:t xml:space="preserve">062/18, </w:t>
      </w:r>
      <w:r w:rsidR="005900C5" w:rsidRPr="00A41838">
        <w:rPr>
          <w:rFonts w:cstheme="minorHAnsi"/>
          <w:color w:val="000000"/>
          <w:sz w:val="24"/>
          <w:szCs w:val="24"/>
          <w:lang w:val="sr-Latn-ME"/>
        </w:rPr>
        <w:t>068/21</w:t>
      </w:r>
      <w:r w:rsidRPr="00A41838">
        <w:rPr>
          <w:rFonts w:cstheme="minorHAnsi"/>
          <w:color w:val="000000"/>
          <w:sz w:val="24"/>
          <w:szCs w:val="24"/>
          <w:lang w:val="sr-Latn-ME"/>
        </w:rPr>
        <w:t>).</w:t>
      </w:r>
    </w:p>
    <w:p w14:paraId="45C66D63" w14:textId="77777777" w:rsidR="003B685F" w:rsidRPr="00A41838" w:rsidRDefault="003B685F" w:rsidP="000E289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</w:p>
    <w:p w14:paraId="3552285E" w14:textId="0259A352" w:rsidR="004321F6" w:rsidRPr="00A41838" w:rsidRDefault="004321F6" w:rsidP="004A4F4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sr-Latn-ME"/>
        </w:rPr>
      </w:pPr>
      <w:r w:rsidRPr="00A41838">
        <w:rPr>
          <w:rFonts w:cstheme="minorHAnsi"/>
          <w:b/>
          <w:bCs/>
          <w:color w:val="000000"/>
          <w:sz w:val="24"/>
          <w:szCs w:val="24"/>
          <w:lang w:val="sr-Latn-ME"/>
        </w:rPr>
        <w:t>Član 1</w:t>
      </w:r>
      <w:r w:rsidR="003B685F" w:rsidRPr="00A41838">
        <w:rPr>
          <w:rFonts w:cstheme="minorHAnsi"/>
          <w:b/>
          <w:bCs/>
          <w:color w:val="000000"/>
          <w:sz w:val="24"/>
          <w:szCs w:val="24"/>
          <w:lang w:val="sr-Latn-ME"/>
        </w:rPr>
        <w:t>4</w:t>
      </w:r>
    </w:p>
    <w:p w14:paraId="7BA752F8" w14:textId="2BE3724B" w:rsidR="004321F6" w:rsidRPr="00A41838" w:rsidRDefault="004321F6" w:rsidP="004A4F46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sr-Latn-ME"/>
        </w:rPr>
      </w:pPr>
      <w:r w:rsidRPr="00A41838">
        <w:rPr>
          <w:rFonts w:cstheme="minorHAnsi"/>
          <w:color w:val="000000"/>
          <w:sz w:val="24"/>
          <w:szCs w:val="24"/>
          <w:lang w:val="sr-Latn-ME"/>
        </w:rPr>
        <w:t>Ovaj pravilnik stupa na snagu osmog dana od dana objavljivanja u "Službenom listu Crne Gore".</w:t>
      </w:r>
    </w:p>
    <w:p w14:paraId="3B31B0E0" w14:textId="5C880709" w:rsidR="004321F6" w:rsidRPr="00A41838" w:rsidRDefault="004321F6" w:rsidP="004A4F46">
      <w:pPr>
        <w:spacing w:after="0" w:line="276" w:lineRule="auto"/>
        <w:jc w:val="center"/>
        <w:rPr>
          <w:rFonts w:cstheme="minorHAnsi"/>
          <w:sz w:val="24"/>
          <w:szCs w:val="24"/>
          <w:lang w:val="sr-Latn-ME"/>
        </w:rPr>
      </w:pPr>
    </w:p>
    <w:p w14:paraId="0ADFB306" w14:textId="1F06BDAB" w:rsidR="00CF5405" w:rsidRPr="00A41838" w:rsidRDefault="00CF5405" w:rsidP="00CF5405">
      <w:pPr>
        <w:spacing w:after="0"/>
        <w:jc w:val="right"/>
        <w:rPr>
          <w:rFonts w:cstheme="minorHAnsi"/>
          <w:sz w:val="24"/>
          <w:szCs w:val="24"/>
          <w:lang w:val="sr-Latn-ME"/>
        </w:rPr>
      </w:pPr>
      <w:r w:rsidRPr="00A41838">
        <w:rPr>
          <w:rFonts w:cstheme="minorHAnsi"/>
          <w:sz w:val="24"/>
          <w:szCs w:val="24"/>
          <w:lang w:val="sr-Latn-ME"/>
        </w:rPr>
        <w:t>PREDSJEDNIK SAVJETA</w:t>
      </w:r>
    </w:p>
    <w:p w14:paraId="40CFC20D" w14:textId="5F5E3323" w:rsidR="00CF5405" w:rsidRPr="00A41838" w:rsidRDefault="00CF5405" w:rsidP="004A4F46">
      <w:pPr>
        <w:spacing w:after="0"/>
        <w:jc w:val="right"/>
        <w:rPr>
          <w:rFonts w:cstheme="minorHAnsi"/>
          <w:sz w:val="24"/>
          <w:szCs w:val="24"/>
          <w:lang w:val="sr-Latn-ME"/>
        </w:rPr>
      </w:pPr>
      <w:r w:rsidRPr="00A41838">
        <w:rPr>
          <w:rFonts w:cstheme="minorHAnsi"/>
          <w:sz w:val="24"/>
          <w:szCs w:val="24"/>
          <w:lang w:val="sr-Latn-ME"/>
        </w:rPr>
        <w:t>Uroš Andrijašević</w:t>
      </w:r>
    </w:p>
    <w:p w14:paraId="247C7EA4" w14:textId="02D87CB6" w:rsidR="00747BA5" w:rsidRPr="00A41838" w:rsidRDefault="00747BA5" w:rsidP="004A4F46">
      <w:pPr>
        <w:spacing w:after="0" w:line="276" w:lineRule="auto"/>
        <w:jc w:val="center"/>
        <w:rPr>
          <w:rFonts w:cstheme="minorHAnsi"/>
          <w:b/>
          <w:lang w:val="sr-Latn-ME"/>
        </w:rPr>
      </w:pPr>
      <w:r w:rsidRPr="00A41838">
        <w:rPr>
          <w:rFonts w:cstheme="minorHAnsi"/>
          <w:b/>
          <w:lang w:val="sr-Latn-ME"/>
        </w:rPr>
        <w:t>Obrazloženje:</w:t>
      </w:r>
    </w:p>
    <w:p w14:paraId="324EFA76" w14:textId="77777777" w:rsidR="00210A2E" w:rsidRPr="00A41838" w:rsidRDefault="00210A2E" w:rsidP="004A4F46">
      <w:pPr>
        <w:spacing w:after="0" w:line="276" w:lineRule="auto"/>
        <w:jc w:val="both"/>
        <w:rPr>
          <w:rFonts w:cstheme="minorHAnsi"/>
          <w:lang w:val="sr-Latn-ME"/>
        </w:rPr>
      </w:pPr>
    </w:p>
    <w:p w14:paraId="2BDB4AF1" w14:textId="44F06891" w:rsidR="00216A72" w:rsidRPr="00A41838" w:rsidRDefault="00216A72" w:rsidP="004A4F46">
      <w:pPr>
        <w:spacing w:after="0" w:line="276" w:lineRule="auto"/>
        <w:jc w:val="both"/>
        <w:rPr>
          <w:rFonts w:eastAsia="Times New Roman" w:cstheme="minorHAnsi"/>
          <w:lang w:val="sr-Latn-ME" w:eastAsia="x-none"/>
        </w:rPr>
      </w:pPr>
      <w:r w:rsidRPr="00A41838">
        <w:rPr>
          <w:rFonts w:eastAsia="Times New Roman" w:cstheme="minorHAnsi"/>
          <w:lang w:val="sr-Latn-ME" w:eastAsia="x-none"/>
        </w:rPr>
        <w:t>Prema članu 9</w:t>
      </w:r>
      <w:r w:rsidR="0082749F" w:rsidRPr="00A41838">
        <w:rPr>
          <w:rFonts w:eastAsia="Times New Roman" w:cstheme="minorHAnsi"/>
          <w:lang w:val="sr-Latn-ME" w:eastAsia="x-none"/>
        </w:rPr>
        <w:t>0</w:t>
      </w:r>
      <w:r w:rsidRPr="00A41838">
        <w:rPr>
          <w:rFonts w:eastAsia="Times New Roman" w:cstheme="minorHAnsi"/>
          <w:lang w:val="sr-Latn-ME" w:eastAsia="x-none"/>
        </w:rPr>
        <w:t>, stav 2</w:t>
      </w:r>
      <w:r w:rsidR="0086151B" w:rsidRPr="00A41838">
        <w:rPr>
          <w:rFonts w:eastAsia="Times New Roman" w:cstheme="minorHAnsi"/>
          <w:lang w:val="sr-Latn-ME" w:eastAsia="x-none"/>
        </w:rPr>
        <w:t xml:space="preserve"> Zakon</w:t>
      </w:r>
      <w:r w:rsidR="0082749F" w:rsidRPr="00A41838">
        <w:rPr>
          <w:rFonts w:eastAsia="Times New Roman" w:cstheme="minorHAnsi"/>
          <w:lang w:val="sr-Latn-ME" w:eastAsia="x-none"/>
        </w:rPr>
        <w:t>a</w:t>
      </w:r>
      <w:r w:rsidR="0086151B" w:rsidRPr="00A41838">
        <w:rPr>
          <w:rFonts w:eastAsia="Times New Roman" w:cstheme="minorHAnsi"/>
          <w:lang w:val="sr-Latn-ME" w:eastAsia="x-none"/>
        </w:rPr>
        <w:t xml:space="preserve"> o osiguranju</w:t>
      </w:r>
      <w:r w:rsidRPr="00A41838">
        <w:rPr>
          <w:rFonts w:eastAsia="Times New Roman" w:cstheme="minorHAnsi"/>
          <w:lang w:val="sr-Latn-ME" w:eastAsia="x-none"/>
        </w:rPr>
        <w:t>, regulatorni organ</w:t>
      </w:r>
      <w:r w:rsidR="00B33A79" w:rsidRPr="00A41838">
        <w:rPr>
          <w:rFonts w:eastAsia="Times New Roman" w:cstheme="minorHAnsi"/>
          <w:lang w:val="sr-Latn-ME" w:eastAsia="x-none"/>
        </w:rPr>
        <w:t>, odnosno Agencija za nadzor osiguranja (u daljem tekstu Agencija)</w:t>
      </w:r>
      <w:r w:rsidR="0086151B" w:rsidRPr="00A41838">
        <w:rPr>
          <w:rFonts w:eastAsia="Times New Roman" w:cstheme="minorHAnsi"/>
          <w:lang w:val="sr-Latn-ME" w:eastAsia="x-none"/>
        </w:rPr>
        <w:t>,</w:t>
      </w:r>
      <w:r w:rsidRPr="00A41838">
        <w:rPr>
          <w:rFonts w:eastAsia="Times New Roman" w:cstheme="minorHAnsi"/>
          <w:lang w:val="sr-Latn-ME" w:eastAsia="x-none"/>
        </w:rPr>
        <w:t xml:space="preserve"> može propisati i druge vrste deponovanja i ulaganja sredstava tehničkih rezervi</w:t>
      </w:r>
      <w:r w:rsidR="004A4F46" w:rsidRPr="00A41838">
        <w:rPr>
          <w:rFonts w:eastAsia="Times New Roman" w:cstheme="minorHAnsi"/>
          <w:lang w:val="sr-Latn-ME" w:eastAsia="x-none"/>
        </w:rPr>
        <w:t>.</w:t>
      </w:r>
    </w:p>
    <w:p w14:paraId="23D9342E" w14:textId="3DAB967D" w:rsidR="00216A72" w:rsidRPr="00A41838" w:rsidRDefault="00216A72" w:rsidP="004A4F46">
      <w:pPr>
        <w:spacing w:after="0" w:line="276" w:lineRule="auto"/>
        <w:jc w:val="both"/>
        <w:rPr>
          <w:rFonts w:eastAsia="Times New Roman" w:cstheme="minorHAnsi"/>
          <w:lang w:val="sr-Latn-ME" w:eastAsia="x-none"/>
        </w:rPr>
      </w:pPr>
      <w:r w:rsidRPr="00A41838">
        <w:rPr>
          <w:rFonts w:eastAsia="Times New Roman" w:cstheme="minorHAnsi"/>
          <w:lang w:val="sr-Latn-ME" w:eastAsia="x-none"/>
        </w:rPr>
        <w:t>U odnosu na Pravilnik o  o deponovanju i ulaganju sredstava tehničkih rezervi društva za osiguranje ("Službeni list Crne Gore", br. 062/18 od 21.09.2018, 068/21 od 23.06.2021)</w:t>
      </w:r>
      <w:r w:rsidR="00B33A79" w:rsidRPr="00A41838">
        <w:rPr>
          <w:rFonts w:eastAsia="Times New Roman" w:cstheme="minorHAnsi"/>
          <w:lang w:val="sr-Latn-ME" w:eastAsia="x-none"/>
        </w:rPr>
        <w:t xml:space="preserve"> kojim su propisane druge vrste ulaganja sredstava tehničkih rezervi</w:t>
      </w:r>
      <w:r w:rsidR="0086151B" w:rsidRPr="00A41838">
        <w:rPr>
          <w:rFonts w:eastAsia="Times New Roman" w:cstheme="minorHAnsi"/>
          <w:lang w:val="sr-Latn-ME" w:eastAsia="x-none"/>
        </w:rPr>
        <w:t>,</w:t>
      </w:r>
      <w:r w:rsidR="00B33A79" w:rsidRPr="00A41838">
        <w:rPr>
          <w:rFonts w:eastAsia="Times New Roman" w:cstheme="minorHAnsi"/>
          <w:lang w:val="sr-Latn-ME" w:eastAsia="x-none"/>
        </w:rPr>
        <w:t xml:space="preserve"> a</w:t>
      </w:r>
      <w:r w:rsidRPr="00A41838">
        <w:rPr>
          <w:rFonts w:eastAsia="Times New Roman" w:cstheme="minorHAnsi"/>
          <w:lang w:val="sr-Latn-ME" w:eastAsia="x-none"/>
        </w:rPr>
        <w:t xml:space="preserve"> koji prestaje da važi danom stupanja na snagu ovog pravilnika, </w:t>
      </w:r>
      <w:r w:rsidR="0034201E" w:rsidRPr="00A41838">
        <w:rPr>
          <w:rFonts w:eastAsia="Times New Roman" w:cstheme="minorHAnsi"/>
          <w:lang w:val="sr-Latn-ME" w:eastAsia="x-none"/>
        </w:rPr>
        <w:t>dodat</w:t>
      </w:r>
      <w:r w:rsidR="0093030E" w:rsidRPr="00A41838">
        <w:rPr>
          <w:rFonts w:eastAsia="Times New Roman" w:cstheme="minorHAnsi"/>
          <w:lang w:val="sr-Latn-ME" w:eastAsia="x-none"/>
        </w:rPr>
        <w:t xml:space="preserve">e </w:t>
      </w:r>
      <w:r w:rsidR="00B33A79" w:rsidRPr="00A41838">
        <w:rPr>
          <w:rFonts w:eastAsia="Times New Roman" w:cstheme="minorHAnsi"/>
          <w:lang w:val="sr-Latn-ME" w:eastAsia="x-none"/>
        </w:rPr>
        <w:t>su sljedeće vrste ulaganja</w:t>
      </w:r>
      <w:r w:rsidR="0093030E" w:rsidRPr="00A41838">
        <w:rPr>
          <w:rFonts w:eastAsia="Times New Roman" w:cstheme="minorHAnsi"/>
          <w:lang w:val="sr-Latn-ME" w:eastAsia="x-none"/>
        </w:rPr>
        <w:t xml:space="preserve"> i ograničenja za ta ulaganja</w:t>
      </w:r>
      <w:r w:rsidR="00B33A79" w:rsidRPr="00A41838">
        <w:rPr>
          <w:rFonts w:eastAsia="Times New Roman" w:cstheme="minorHAnsi"/>
          <w:lang w:val="sr-Latn-ME" w:eastAsia="x-none"/>
        </w:rPr>
        <w:t>:</w:t>
      </w:r>
    </w:p>
    <w:p w14:paraId="49028D42" w14:textId="278A8B19" w:rsidR="0093030E" w:rsidRPr="00A41838" w:rsidRDefault="00B33A79" w:rsidP="004A4F4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val="sr-Latn-ME" w:eastAsia="x-none"/>
        </w:rPr>
      </w:pPr>
      <w:r w:rsidRPr="00A41838">
        <w:rPr>
          <w:rFonts w:eastAsia="Times New Roman" w:cstheme="minorHAnsi"/>
          <w:lang w:val="sr-Latn-ME" w:eastAsia="x-none"/>
        </w:rPr>
        <w:t>potraživanja od osiguranika po osnovu premije osiguranja i saosiguranja</w:t>
      </w:r>
      <w:r w:rsidR="003E042C" w:rsidRPr="00A41838">
        <w:rPr>
          <w:rFonts w:eastAsia="Times New Roman" w:cstheme="minorHAnsi"/>
          <w:lang w:val="sr-Latn-ME" w:eastAsia="x-none"/>
        </w:rPr>
        <w:t>,</w:t>
      </w:r>
      <w:r w:rsidRPr="00A41838">
        <w:rPr>
          <w:rFonts w:eastAsia="Times New Roman" w:cstheme="minorHAnsi"/>
          <w:lang w:val="sr-Latn-ME" w:eastAsia="x-none"/>
        </w:rPr>
        <w:t xml:space="preserve"> </w:t>
      </w:r>
      <w:r w:rsidR="003E042C" w:rsidRPr="00A41838">
        <w:rPr>
          <w:rFonts w:cstheme="minorHAnsi"/>
          <w:lang w:val="sr-Latn-ME"/>
        </w:rPr>
        <w:t>ne starija od 90 dana,</w:t>
      </w:r>
      <w:r w:rsidRPr="00A41838">
        <w:rPr>
          <w:rFonts w:eastAsia="Times New Roman" w:cstheme="minorHAnsi"/>
          <w:lang w:val="sr-Latn-ME" w:eastAsia="x-none"/>
        </w:rPr>
        <w:t xml:space="preserve"> do 10 % tehničkih rezervi</w:t>
      </w:r>
      <w:r w:rsidR="0086151B" w:rsidRPr="00A41838">
        <w:rPr>
          <w:rFonts w:eastAsia="Times New Roman" w:cstheme="minorHAnsi"/>
          <w:lang w:val="sr-Latn-ME" w:eastAsia="x-none"/>
        </w:rPr>
        <w:t xml:space="preserve"> i</w:t>
      </w:r>
    </w:p>
    <w:p w14:paraId="5CEEF34D" w14:textId="21DD73C2" w:rsidR="00B33A79" w:rsidRPr="00A41838" w:rsidRDefault="00B33A79" w:rsidP="004A4F4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val="sr-Latn-ME" w:eastAsia="x-none"/>
        </w:rPr>
      </w:pPr>
      <w:r w:rsidRPr="00A41838">
        <w:rPr>
          <w:rFonts w:eastAsia="Times New Roman" w:cstheme="minorHAnsi"/>
          <w:lang w:val="sr-Latn-ME" w:eastAsia="x-none"/>
        </w:rPr>
        <w:t>potraživanja od reosiguravača po osnovu nastalih šteta iz reosiguranja</w:t>
      </w:r>
      <w:r w:rsidR="003E042C" w:rsidRPr="00A41838">
        <w:rPr>
          <w:rFonts w:eastAsia="Times New Roman" w:cstheme="minorHAnsi"/>
          <w:lang w:val="sr-Latn-ME" w:eastAsia="x-none"/>
        </w:rPr>
        <w:t>,</w:t>
      </w:r>
      <w:r w:rsidRPr="00A41838">
        <w:rPr>
          <w:rFonts w:eastAsia="Times New Roman" w:cstheme="minorHAnsi"/>
          <w:lang w:val="sr-Latn-ME" w:eastAsia="x-none"/>
        </w:rPr>
        <w:t xml:space="preserve"> </w:t>
      </w:r>
      <w:r w:rsidR="003E042C" w:rsidRPr="00A41838">
        <w:rPr>
          <w:rFonts w:eastAsia="Times New Roman" w:cstheme="minorHAnsi"/>
          <w:lang w:val="sr-Latn-ME" w:eastAsia="x-none"/>
        </w:rPr>
        <w:t xml:space="preserve">ne starija od 90 dana, </w:t>
      </w:r>
      <w:r w:rsidRPr="00A41838">
        <w:rPr>
          <w:rFonts w:eastAsia="Times New Roman" w:cstheme="minorHAnsi"/>
          <w:lang w:val="sr-Latn-ME" w:eastAsia="x-none"/>
        </w:rPr>
        <w:t>do 10%  tehničkih rezervi</w:t>
      </w:r>
      <w:r w:rsidR="0086151B" w:rsidRPr="00A41838">
        <w:rPr>
          <w:rFonts w:eastAsia="Times New Roman" w:cstheme="minorHAnsi"/>
          <w:lang w:val="sr-Latn-ME" w:eastAsia="x-none"/>
        </w:rPr>
        <w:t>.</w:t>
      </w:r>
    </w:p>
    <w:p w14:paraId="1A7DB9E9" w14:textId="5FA4969F" w:rsidR="00B33A79" w:rsidRPr="00A41838" w:rsidRDefault="00B33A79" w:rsidP="004A4F46">
      <w:pPr>
        <w:spacing w:after="0" w:line="276" w:lineRule="auto"/>
        <w:jc w:val="both"/>
        <w:rPr>
          <w:rFonts w:eastAsia="Times New Roman" w:cstheme="minorHAnsi"/>
          <w:lang w:val="sr-Latn-ME" w:eastAsia="x-none"/>
        </w:rPr>
      </w:pPr>
      <w:r w:rsidRPr="00A41838">
        <w:rPr>
          <w:rFonts w:eastAsia="Times New Roman" w:cstheme="minorHAnsi"/>
          <w:lang w:val="sr-Latn-ME" w:eastAsia="x-none"/>
        </w:rPr>
        <w:t>Dodatno, ograničenje ulaganja na poslovnom računu društva za osiguranje se mijenja i umjesto dosadašnji</w:t>
      </w:r>
      <w:r w:rsidR="0082749F" w:rsidRPr="00A41838">
        <w:rPr>
          <w:rFonts w:eastAsia="Times New Roman" w:cstheme="minorHAnsi"/>
          <w:lang w:val="sr-Latn-ME" w:eastAsia="x-none"/>
        </w:rPr>
        <w:t>h</w:t>
      </w:r>
      <w:r w:rsidRPr="00A41838">
        <w:rPr>
          <w:rFonts w:eastAsia="Times New Roman" w:cstheme="minorHAnsi"/>
          <w:lang w:val="sr-Latn-ME" w:eastAsia="x-none"/>
        </w:rPr>
        <w:t xml:space="preserve"> 3%, iznosi 10%. </w:t>
      </w:r>
    </w:p>
    <w:p w14:paraId="2CE867EF" w14:textId="073B6192" w:rsidR="00162317" w:rsidRPr="00A41838" w:rsidRDefault="00B33A79" w:rsidP="004A4F46">
      <w:pPr>
        <w:spacing w:after="0" w:line="276" w:lineRule="auto"/>
        <w:jc w:val="both"/>
        <w:rPr>
          <w:rFonts w:eastAsia="Times New Roman" w:cstheme="minorHAnsi"/>
          <w:lang w:val="sr-Latn-ME" w:eastAsia="x-none"/>
        </w:rPr>
      </w:pPr>
      <w:r w:rsidRPr="00A41838">
        <w:rPr>
          <w:rFonts w:eastAsia="Times New Roman" w:cstheme="minorHAnsi"/>
          <w:lang w:val="sr-Latn-ME" w:eastAsia="x-none"/>
        </w:rPr>
        <w:t xml:space="preserve">Uvođenje novih vrsta </w:t>
      </w:r>
      <w:r w:rsidR="0082749F" w:rsidRPr="00A41838">
        <w:rPr>
          <w:rFonts w:eastAsia="Times New Roman" w:cstheme="minorHAnsi"/>
          <w:lang w:val="sr-Latn-ME" w:eastAsia="x-none"/>
        </w:rPr>
        <w:t xml:space="preserve">dozvoljenih </w:t>
      </w:r>
      <w:r w:rsidRPr="00A41838">
        <w:rPr>
          <w:rFonts w:eastAsia="Times New Roman" w:cstheme="minorHAnsi"/>
          <w:lang w:val="sr-Latn-ME" w:eastAsia="x-none"/>
        </w:rPr>
        <w:t>ulaganja</w:t>
      </w:r>
      <w:r w:rsidR="0082749F" w:rsidRPr="00A41838">
        <w:rPr>
          <w:rFonts w:eastAsia="Times New Roman" w:cstheme="minorHAnsi"/>
          <w:lang w:val="sr-Latn-ME" w:eastAsia="x-none"/>
        </w:rPr>
        <w:t xml:space="preserve"> sredstava tehničkih rezervi društava za osiguranje</w:t>
      </w:r>
      <w:r w:rsidRPr="00A41838">
        <w:rPr>
          <w:rFonts w:eastAsia="Times New Roman" w:cstheme="minorHAnsi"/>
          <w:lang w:val="sr-Latn-ME" w:eastAsia="x-none"/>
        </w:rPr>
        <w:t xml:space="preserve"> i povećanje ograničenja postojeće vrste je </w:t>
      </w:r>
      <w:r w:rsidR="0086151B" w:rsidRPr="00A41838">
        <w:rPr>
          <w:rFonts w:eastAsia="Times New Roman" w:cstheme="minorHAnsi"/>
          <w:lang w:val="sr-Latn-ME" w:eastAsia="x-none"/>
        </w:rPr>
        <w:t>izvršeno</w:t>
      </w:r>
      <w:r w:rsidRPr="00A41838">
        <w:rPr>
          <w:rFonts w:eastAsia="Times New Roman" w:cstheme="minorHAnsi"/>
          <w:lang w:val="sr-Latn-ME" w:eastAsia="x-none"/>
        </w:rPr>
        <w:t xml:space="preserve"> </w:t>
      </w:r>
      <w:r w:rsidR="0034201E" w:rsidRPr="00A41838">
        <w:rPr>
          <w:rFonts w:eastAsia="Times New Roman" w:cstheme="minorHAnsi"/>
          <w:lang w:val="sr-Latn-ME" w:eastAsia="x-none"/>
        </w:rPr>
        <w:t xml:space="preserve">na osnovu </w:t>
      </w:r>
      <w:r w:rsidR="0086151B" w:rsidRPr="00A41838">
        <w:rPr>
          <w:rFonts w:eastAsia="Times New Roman" w:cstheme="minorHAnsi"/>
          <w:lang w:val="sr-Latn-ME" w:eastAsia="x-none"/>
        </w:rPr>
        <w:t xml:space="preserve">stručnih </w:t>
      </w:r>
      <w:r w:rsidRPr="00A41838">
        <w:rPr>
          <w:rFonts w:eastAsia="Times New Roman" w:cstheme="minorHAnsi"/>
          <w:lang w:val="sr-Latn-ME" w:eastAsia="x-none"/>
        </w:rPr>
        <w:t xml:space="preserve">analiza </w:t>
      </w:r>
      <w:r w:rsidR="00FC2CC0" w:rsidRPr="00A41838">
        <w:rPr>
          <w:rFonts w:eastAsia="Times New Roman" w:cstheme="minorHAnsi"/>
          <w:lang w:val="sr-Latn-ME" w:eastAsia="x-none"/>
        </w:rPr>
        <w:t>Agencije</w:t>
      </w:r>
      <w:r w:rsidR="0082749F" w:rsidRPr="00A41838">
        <w:rPr>
          <w:rFonts w:eastAsia="Times New Roman" w:cstheme="minorHAnsi"/>
          <w:lang w:val="sr-Latn-ME" w:eastAsia="x-none"/>
        </w:rPr>
        <w:t xml:space="preserve"> koje su sprovedene nakon što je konstatovan značajan pad cijena crnogorskih državnih obveznica, koje u najvećoj mjeri pokrivaju tehničke rezerve društava za osiguranje, te nakon</w:t>
      </w:r>
      <w:r w:rsidR="0086151B" w:rsidRPr="00A41838">
        <w:rPr>
          <w:rFonts w:eastAsia="Times New Roman" w:cstheme="minorHAnsi"/>
          <w:lang w:val="sr-Latn-ME" w:eastAsia="x-none"/>
        </w:rPr>
        <w:t xml:space="preserve"> upoznavanja sa p</w:t>
      </w:r>
      <w:r w:rsidR="00FC2CC0" w:rsidRPr="00A41838">
        <w:rPr>
          <w:rFonts w:eastAsia="Times New Roman" w:cstheme="minorHAnsi"/>
          <w:lang w:val="sr-Latn-ME" w:eastAsia="x-none"/>
        </w:rPr>
        <w:t>rojekcija</w:t>
      </w:r>
      <w:r w:rsidR="0086151B" w:rsidRPr="00A41838">
        <w:rPr>
          <w:rFonts w:eastAsia="Times New Roman" w:cstheme="minorHAnsi"/>
          <w:lang w:val="sr-Latn-ME" w:eastAsia="x-none"/>
        </w:rPr>
        <w:t>ma</w:t>
      </w:r>
      <w:r w:rsidR="00FC2CC0" w:rsidRPr="00A41838">
        <w:rPr>
          <w:rFonts w:eastAsia="Times New Roman" w:cstheme="minorHAnsi"/>
          <w:lang w:val="sr-Latn-ME" w:eastAsia="x-none"/>
        </w:rPr>
        <w:t xml:space="preserve"> strukture i vrijednosti deponovanja i ulaganja sredstava tehničkih rezervi do kraja 2023. godine</w:t>
      </w:r>
      <w:r w:rsidR="0082749F" w:rsidRPr="00A41838">
        <w:rPr>
          <w:rFonts w:eastAsia="Times New Roman" w:cstheme="minorHAnsi"/>
          <w:lang w:val="sr-Latn-ME" w:eastAsia="x-none"/>
        </w:rPr>
        <w:t xml:space="preserve"> koje su </w:t>
      </w:r>
      <w:r w:rsidR="00FC2CC0" w:rsidRPr="00A41838">
        <w:rPr>
          <w:rFonts w:eastAsia="Times New Roman" w:cstheme="minorHAnsi"/>
          <w:lang w:val="sr-Latn-ME" w:eastAsia="x-none"/>
        </w:rPr>
        <w:t>društava za osiguranje</w:t>
      </w:r>
      <w:r w:rsidR="0082749F" w:rsidRPr="00A41838">
        <w:rPr>
          <w:rFonts w:eastAsia="Times New Roman" w:cstheme="minorHAnsi"/>
          <w:lang w:val="sr-Latn-ME" w:eastAsia="x-none"/>
        </w:rPr>
        <w:t xml:space="preserve"> dostavila Agenciji na njen zahtjev</w:t>
      </w:r>
      <w:r w:rsidR="0086151B" w:rsidRPr="00A41838">
        <w:rPr>
          <w:rFonts w:eastAsia="Times New Roman" w:cstheme="minorHAnsi"/>
          <w:lang w:val="sr-Latn-ME" w:eastAsia="x-none"/>
        </w:rPr>
        <w:t>.</w:t>
      </w:r>
      <w:r w:rsidR="00E16343" w:rsidRPr="00A41838">
        <w:rPr>
          <w:rFonts w:eastAsia="Times New Roman" w:cstheme="minorHAnsi"/>
          <w:lang w:val="sr-Latn-ME" w:eastAsia="x-none"/>
        </w:rPr>
        <w:t xml:space="preserve"> Agencija je, takođe, imala u vidu </w:t>
      </w:r>
      <w:r w:rsidR="0093030E" w:rsidRPr="00A41838">
        <w:rPr>
          <w:rFonts w:eastAsia="Times New Roman" w:cstheme="minorHAnsi"/>
          <w:lang w:val="sr-Latn-ME" w:eastAsia="x-none"/>
        </w:rPr>
        <w:t xml:space="preserve">Inicijativu za izmjenu i dopunu Pravilnika o deponovanju i ulaganju sredstava tehničkih rezervi društva za osiguranje broj 05/11 od 11. 07. 2022. godine, koja je dostavljena Agenciji od Udruženja – Nacionalni biro osiguravača Crne Gore, kao i </w:t>
      </w:r>
      <w:r w:rsidR="00E16343" w:rsidRPr="00A41838">
        <w:rPr>
          <w:rFonts w:eastAsia="Times New Roman" w:cstheme="minorHAnsi"/>
          <w:lang w:val="sr-Latn-ME" w:eastAsia="x-none"/>
        </w:rPr>
        <w:t xml:space="preserve">uporednu analizu </w:t>
      </w:r>
      <w:r w:rsidR="006361FB" w:rsidRPr="00A41838">
        <w:rPr>
          <w:rFonts w:eastAsia="Times New Roman" w:cstheme="minorHAnsi"/>
          <w:lang w:val="sr-Latn-ME" w:eastAsia="x-none"/>
        </w:rPr>
        <w:t>regulative</w:t>
      </w:r>
      <w:r w:rsidR="0093030E" w:rsidRPr="00A41838">
        <w:rPr>
          <w:rFonts w:eastAsia="Times New Roman" w:cstheme="minorHAnsi"/>
          <w:lang w:val="sr-Latn-ME" w:eastAsia="x-none"/>
        </w:rPr>
        <w:t xml:space="preserve"> </w:t>
      </w:r>
      <w:r w:rsidR="00E16343" w:rsidRPr="00A41838">
        <w:rPr>
          <w:rFonts w:eastAsia="Times New Roman" w:cstheme="minorHAnsi"/>
          <w:lang w:val="sr-Latn-ME" w:eastAsia="x-none"/>
        </w:rPr>
        <w:t xml:space="preserve">zemalja regiona u vezi sa propisanim oblicima imovine za pokriće tehničkih rezervi društava za osiguranje. </w:t>
      </w:r>
    </w:p>
    <w:p w14:paraId="2E9EA389" w14:textId="55E85924" w:rsidR="00E82C07" w:rsidRPr="004A4F46" w:rsidRDefault="00E16343" w:rsidP="004A4F46">
      <w:pPr>
        <w:spacing w:after="0" w:line="276" w:lineRule="auto"/>
        <w:jc w:val="both"/>
        <w:rPr>
          <w:rFonts w:eastAsia="Times New Roman" w:cstheme="minorHAnsi"/>
          <w:lang w:val="sr-Latn-ME" w:eastAsia="x-none"/>
        </w:rPr>
      </w:pPr>
      <w:r w:rsidRPr="00A41838">
        <w:rPr>
          <w:rFonts w:eastAsia="Times New Roman" w:cstheme="minorHAnsi"/>
          <w:lang w:val="sr-Latn-ME" w:eastAsia="x-none"/>
        </w:rPr>
        <w:t xml:space="preserve">Uzimajući u obzir gore navedeno, kao i </w:t>
      </w:r>
      <w:r w:rsidR="00162317" w:rsidRPr="00A41838">
        <w:rPr>
          <w:rFonts w:eastAsia="Times New Roman" w:cstheme="minorHAnsi"/>
          <w:lang w:val="sr-Latn-ME" w:eastAsia="x-none"/>
        </w:rPr>
        <w:t>rizik d</w:t>
      </w:r>
      <w:r w:rsidR="00FC2CC0" w:rsidRPr="00A41838">
        <w:rPr>
          <w:rFonts w:eastAsia="Times New Roman" w:cstheme="minorHAnsi"/>
          <w:lang w:val="sr-Latn-ME" w:eastAsia="x-none"/>
        </w:rPr>
        <w:t>alj</w:t>
      </w:r>
      <w:r w:rsidR="00162317" w:rsidRPr="00A41838">
        <w:rPr>
          <w:rFonts w:eastAsia="Times New Roman" w:cstheme="minorHAnsi"/>
          <w:lang w:val="sr-Latn-ME" w:eastAsia="x-none"/>
        </w:rPr>
        <w:t>eg</w:t>
      </w:r>
      <w:r w:rsidR="00FC2CC0" w:rsidRPr="00A41838">
        <w:rPr>
          <w:rFonts w:eastAsia="Times New Roman" w:cstheme="minorHAnsi"/>
          <w:lang w:val="sr-Latn-ME" w:eastAsia="x-none"/>
        </w:rPr>
        <w:t xml:space="preserve"> p</w:t>
      </w:r>
      <w:r w:rsidR="00931248" w:rsidRPr="00A41838">
        <w:rPr>
          <w:rFonts w:eastAsia="Times New Roman" w:cstheme="minorHAnsi"/>
          <w:lang w:val="sr-Latn-ME" w:eastAsia="x-none"/>
        </w:rPr>
        <w:t>ad</w:t>
      </w:r>
      <w:r w:rsidR="00162317" w:rsidRPr="00A41838">
        <w:rPr>
          <w:rFonts w:eastAsia="Times New Roman" w:cstheme="minorHAnsi"/>
          <w:lang w:val="sr-Latn-ME" w:eastAsia="x-none"/>
        </w:rPr>
        <w:t>a</w:t>
      </w:r>
      <w:r w:rsidR="00931248" w:rsidRPr="00A41838">
        <w:rPr>
          <w:rFonts w:eastAsia="Times New Roman" w:cstheme="minorHAnsi"/>
          <w:lang w:val="sr-Latn-ME" w:eastAsia="x-none"/>
        </w:rPr>
        <w:t xml:space="preserve"> vrijednosti </w:t>
      </w:r>
      <w:r w:rsidR="00162317" w:rsidRPr="00A41838">
        <w:rPr>
          <w:rFonts w:eastAsia="Times New Roman" w:cstheme="minorHAnsi"/>
          <w:lang w:val="sr-Latn-ME" w:eastAsia="x-none"/>
        </w:rPr>
        <w:t>ovih har</w:t>
      </w:r>
      <w:r w:rsidRPr="00A41838">
        <w:rPr>
          <w:rFonts w:eastAsia="Times New Roman" w:cstheme="minorHAnsi"/>
          <w:lang w:val="sr-Latn-ME" w:eastAsia="x-none"/>
        </w:rPr>
        <w:t>tija od vrijednosti, Agencija je kao privremenu mjeru</w:t>
      </w:r>
      <w:r w:rsidR="00915A58" w:rsidRPr="00A41838">
        <w:rPr>
          <w:rFonts w:eastAsia="Times New Roman" w:cstheme="minorHAnsi"/>
          <w:lang w:val="sr-Latn-ME" w:eastAsia="x-none"/>
        </w:rPr>
        <w:t xml:space="preserve"> koja je na snazi do kraja 2023. godine i koja je</w:t>
      </w:r>
      <w:r w:rsidRPr="00A41838">
        <w:rPr>
          <w:rFonts w:eastAsia="Times New Roman" w:cstheme="minorHAnsi"/>
          <w:lang w:val="sr-Latn-ME" w:eastAsia="x-none"/>
        </w:rPr>
        <w:t xml:space="preserve"> usmjeren</w:t>
      </w:r>
      <w:r w:rsidR="00915A58" w:rsidRPr="00A41838">
        <w:rPr>
          <w:rFonts w:eastAsia="Times New Roman" w:cstheme="minorHAnsi"/>
          <w:lang w:val="sr-Latn-ME" w:eastAsia="x-none"/>
        </w:rPr>
        <w:t>a</w:t>
      </w:r>
      <w:r w:rsidRPr="00A41838">
        <w:rPr>
          <w:rFonts w:eastAsia="Times New Roman" w:cstheme="minorHAnsi"/>
          <w:lang w:val="sr-Latn-ME" w:eastAsia="x-none"/>
        </w:rPr>
        <w:t xml:space="preserve"> na obezbjeđenje</w:t>
      </w:r>
      <w:r w:rsidR="0034201E" w:rsidRPr="00A41838">
        <w:rPr>
          <w:rFonts w:eastAsia="Times New Roman" w:cstheme="minorHAnsi"/>
          <w:lang w:val="sr-Latn-ME" w:eastAsia="x-none"/>
        </w:rPr>
        <w:t xml:space="preserve"> stabilnosti dje</w:t>
      </w:r>
      <w:r w:rsidRPr="00A41838">
        <w:rPr>
          <w:rFonts w:eastAsia="Times New Roman" w:cstheme="minorHAnsi"/>
          <w:lang w:val="sr-Latn-ME" w:eastAsia="x-none"/>
        </w:rPr>
        <w:t xml:space="preserve">latnosti osiguranja, </w:t>
      </w:r>
      <w:r w:rsidR="00FE2319" w:rsidRPr="00A41838">
        <w:rPr>
          <w:rFonts w:eastAsia="Times New Roman" w:cstheme="minorHAnsi"/>
          <w:lang w:val="sr-Latn-ME" w:eastAsia="x-none"/>
        </w:rPr>
        <w:t>propisala nove</w:t>
      </w:r>
      <w:r w:rsidR="00162317" w:rsidRPr="00A41838">
        <w:rPr>
          <w:rFonts w:eastAsia="Times New Roman" w:cstheme="minorHAnsi"/>
          <w:lang w:val="sr-Latn-ME" w:eastAsia="x-none"/>
        </w:rPr>
        <w:t xml:space="preserve"> vrste </w:t>
      </w:r>
      <w:r w:rsidR="008F449F" w:rsidRPr="00A41838">
        <w:rPr>
          <w:rFonts w:eastAsia="Times New Roman" w:cstheme="minorHAnsi"/>
          <w:lang w:val="sr-Latn-ME" w:eastAsia="x-none"/>
        </w:rPr>
        <w:t>prihvatljivih ulaganja</w:t>
      </w:r>
      <w:r w:rsidRPr="00A41838">
        <w:rPr>
          <w:rFonts w:eastAsia="Times New Roman" w:cstheme="minorHAnsi"/>
          <w:lang w:val="sr-Latn-ME" w:eastAsia="x-none"/>
        </w:rPr>
        <w:t xml:space="preserve"> sredstava tehničkih rezervi </w:t>
      </w:r>
      <w:r w:rsidR="00FE2319" w:rsidRPr="00A41838">
        <w:rPr>
          <w:rFonts w:eastAsia="Times New Roman" w:cstheme="minorHAnsi"/>
          <w:lang w:val="sr-Latn-ME" w:eastAsia="x-none"/>
        </w:rPr>
        <w:t>društava za osiguranje, te</w:t>
      </w:r>
      <w:r w:rsidR="00162317" w:rsidRPr="00A41838">
        <w:rPr>
          <w:rFonts w:eastAsia="Times New Roman" w:cstheme="minorHAnsi"/>
          <w:lang w:val="sr-Latn-ME" w:eastAsia="x-none"/>
        </w:rPr>
        <w:t xml:space="preserve"> </w:t>
      </w:r>
      <w:r w:rsidR="00FE2319" w:rsidRPr="00A41838">
        <w:rPr>
          <w:rFonts w:eastAsia="Times New Roman" w:cstheme="minorHAnsi"/>
          <w:lang w:val="sr-Latn-ME" w:eastAsia="x-none"/>
        </w:rPr>
        <w:t xml:space="preserve">za postojeći dozvoljeni oblik </w:t>
      </w:r>
      <w:r w:rsidR="00E46AC9" w:rsidRPr="00A41838">
        <w:rPr>
          <w:rFonts w:eastAsia="Times New Roman" w:cstheme="minorHAnsi"/>
          <w:lang w:val="sr-Latn-ME" w:eastAsia="x-none"/>
        </w:rPr>
        <w:t>(poslovni račun)</w:t>
      </w:r>
      <w:r w:rsidR="00FE2319" w:rsidRPr="00A41838">
        <w:rPr>
          <w:rFonts w:eastAsia="Times New Roman" w:cstheme="minorHAnsi"/>
          <w:lang w:val="sr-Latn-ME" w:eastAsia="x-none"/>
        </w:rPr>
        <w:t xml:space="preserve"> uvećala </w:t>
      </w:r>
      <w:r w:rsidR="008F449F" w:rsidRPr="00A41838">
        <w:rPr>
          <w:rFonts w:eastAsia="Times New Roman" w:cstheme="minorHAnsi"/>
          <w:lang w:val="sr-Latn-ME" w:eastAsia="x-none"/>
        </w:rPr>
        <w:t xml:space="preserve">gornji limit </w:t>
      </w:r>
      <w:r w:rsidR="00FE2319" w:rsidRPr="00A41838">
        <w:rPr>
          <w:rFonts w:eastAsia="Times New Roman" w:cstheme="minorHAnsi"/>
          <w:lang w:val="sr-Latn-ME" w:eastAsia="x-none"/>
        </w:rPr>
        <w:t>za</w:t>
      </w:r>
      <w:r w:rsidR="00FE2319" w:rsidRPr="004A4F46">
        <w:rPr>
          <w:rFonts w:eastAsia="Times New Roman" w:cstheme="minorHAnsi"/>
          <w:lang w:val="sr-Latn-ME" w:eastAsia="x-none"/>
        </w:rPr>
        <w:t xml:space="preserve"> ulaganje.</w:t>
      </w:r>
      <w:r w:rsidR="008F449F" w:rsidRPr="004A4F46">
        <w:rPr>
          <w:rFonts w:eastAsia="Times New Roman" w:cstheme="minorHAnsi"/>
          <w:lang w:val="sr-Latn-ME" w:eastAsia="x-none"/>
        </w:rPr>
        <w:t xml:space="preserve"> </w:t>
      </w:r>
    </w:p>
    <w:sectPr w:rsidR="00E82C07" w:rsidRPr="004A4F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136" w14:textId="77777777" w:rsidR="001D5E06" w:rsidRDefault="001D5E06" w:rsidP="009E3D27">
      <w:pPr>
        <w:spacing w:after="0" w:line="240" w:lineRule="auto"/>
      </w:pPr>
      <w:r>
        <w:separator/>
      </w:r>
    </w:p>
  </w:endnote>
  <w:endnote w:type="continuationSeparator" w:id="0">
    <w:p w14:paraId="11EF5361" w14:textId="77777777" w:rsidR="001D5E06" w:rsidRDefault="001D5E06" w:rsidP="009E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01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7609" w14:textId="69596178" w:rsidR="009E3D27" w:rsidRDefault="009E3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4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416456" w14:textId="77777777" w:rsidR="009E3D27" w:rsidRDefault="009E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7BC3" w14:textId="77777777" w:rsidR="001D5E06" w:rsidRDefault="001D5E06" w:rsidP="009E3D27">
      <w:pPr>
        <w:spacing w:after="0" w:line="240" w:lineRule="auto"/>
      </w:pPr>
      <w:r>
        <w:separator/>
      </w:r>
    </w:p>
  </w:footnote>
  <w:footnote w:type="continuationSeparator" w:id="0">
    <w:p w14:paraId="7720050A" w14:textId="77777777" w:rsidR="001D5E06" w:rsidRDefault="001D5E06" w:rsidP="009E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51B"/>
    <w:multiLevelType w:val="hybridMultilevel"/>
    <w:tmpl w:val="2E9A2A74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CD5"/>
    <w:multiLevelType w:val="hybridMultilevel"/>
    <w:tmpl w:val="D63EA4E8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9EE"/>
    <w:multiLevelType w:val="hybridMultilevel"/>
    <w:tmpl w:val="4582DB28"/>
    <w:lvl w:ilvl="0" w:tplc="2D4E93B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DD2"/>
    <w:multiLevelType w:val="hybridMultilevel"/>
    <w:tmpl w:val="F7982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C7D24DC2">
      <w:start w:val="1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ABD6B8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53BC"/>
    <w:multiLevelType w:val="hybridMultilevel"/>
    <w:tmpl w:val="93687E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28802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3C07"/>
    <w:multiLevelType w:val="hybridMultilevel"/>
    <w:tmpl w:val="4B3A6E24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6A3E"/>
    <w:multiLevelType w:val="hybridMultilevel"/>
    <w:tmpl w:val="364A17B6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E3BEF"/>
    <w:multiLevelType w:val="hybridMultilevel"/>
    <w:tmpl w:val="244CE3AE"/>
    <w:lvl w:ilvl="0" w:tplc="2D4E93B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F6A9D"/>
    <w:multiLevelType w:val="hybridMultilevel"/>
    <w:tmpl w:val="B136F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ACE"/>
    <w:multiLevelType w:val="hybridMultilevel"/>
    <w:tmpl w:val="6CDA7C4E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EC4"/>
    <w:multiLevelType w:val="hybridMultilevel"/>
    <w:tmpl w:val="14A45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5671E"/>
    <w:multiLevelType w:val="hybridMultilevel"/>
    <w:tmpl w:val="9086D29A"/>
    <w:lvl w:ilvl="0" w:tplc="9F46B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1B69"/>
    <w:multiLevelType w:val="hybridMultilevel"/>
    <w:tmpl w:val="6AFE09CA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456"/>
    <w:multiLevelType w:val="hybridMultilevel"/>
    <w:tmpl w:val="F5626274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6E29"/>
    <w:multiLevelType w:val="hybridMultilevel"/>
    <w:tmpl w:val="F2B0FB64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675D"/>
    <w:multiLevelType w:val="hybridMultilevel"/>
    <w:tmpl w:val="409E63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C408A"/>
    <w:multiLevelType w:val="hybridMultilevel"/>
    <w:tmpl w:val="60E48190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314D7"/>
    <w:multiLevelType w:val="hybridMultilevel"/>
    <w:tmpl w:val="9EBAEA56"/>
    <w:lvl w:ilvl="0" w:tplc="FB0CC8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A712A"/>
    <w:multiLevelType w:val="hybridMultilevel"/>
    <w:tmpl w:val="44689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54244">
    <w:abstractNumId w:val="18"/>
  </w:num>
  <w:num w:numId="2" w16cid:durableId="1521623554">
    <w:abstractNumId w:val="7"/>
  </w:num>
  <w:num w:numId="3" w16cid:durableId="1216812037">
    <w:abstractNumId w:val="2"/>
  </w:num>
  <w:num w:numId="4" w16cid:durableId="977995744">
    <w:abstractNumId w:val="1"/>
  </w:num>
  <w:num w:numId="5" w16cid:durableId="2142267574">
    <w:abstractNumId w:val="12"/>
  </w:num>
  <w:num w:numId="6" w16cid:durableId="1581209434">
    <w:abstractNumId w:val="8"/>
  </w:num>
  <w:num w:numId="7" w16cid:durableId="1808283300">
    <w:abstractNumId w:val="0"/>
  </w:num>
  <w:num w:numId="8" w16cid:durableId="1605109131">
    <w:abstractNumId w:val="17"/>
  </w:num>
  <w:num w:numId="9" w16cid:durableId="1099106884">
    <w:abstractNumId w:val="4"/>
  </w:num>
  <w:num w:numId="10" w16cid:durableId="868226496">
    <w:abstractNumId w:val="11"/>
  </w:num>
  <w:num w:numId="11" w16cid:durableId="1766149622">
    <w:abstractNumId w:val="3"/>
  </w:num>
  <w:num w:numId="12" w16cid:durableId="1564096484">
    <w:abstractNumId w:val="16"/>
  </w:num>
  <w:num w:numId="13" w16cid:durableId="264073336">
    <w:abstractNumId w:val="13"/>
  </w:num>
  <w:num w:numId="14" w16cid:durableId="1943681908">
    <w:abstractNumId w:val="6"/>
  </w:num>
  <w:num w:numId="15" w16cid:durableId="1608344931">
    <w:abstractNumId w:val="9"/>
  </w:num>
  <w:num w:numId="16" w16cid:durableId="207105115">
    <w:abstractNumId w:val="14"/>
  </w:num>
  <w:num w:numId="17" w16cid:durableId="1797989222">
    <w:abstractNumId w:val="5"/>
  </w:num>
  <w:num w:numId="18" w16cid:durableId="2140221011">
    <w:abstractNumId w:val="15"/>
  </w:num>
  <w:num w:numId="19" w16cid:durableId="27725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B"/>
    <w:rsid w:val="00014452"/>
    <w:rsid w:val="00022EC7"/>
    <w:rsid w:val="00026440"/>
    <w:rsid w:val="00037491"/>
    <w:rsid w:val="00050C71"/>
    <w:rsid w:val="000576E2"/>
    <w:rsid w:val="0009728F"/>
    <w:rsid w:val="000A6BB1"/>
    <w:rsid w:val="000C5E47"/>
    <w:rsid w:val="000D093F"/>
    <w:rsid w:val="000E2895"/>
    <w:rsid w:val="00113DB7"/>
    <w:rsid w:val="00161244"/>
    <w:rsid w:val="00162317"/>
    <w:rsid w:val="0017242B"/>
    <w:rsid w:val="001762C2"/>
    <w:rsid w:val="00197BFD"/>
    <w:rsid w:val="001D3FEF"/>
    <w:rsid w:val="001D5E06"/>
    <w:rsid w:val="001E1774"/>
    <w:rsid w:val="001E7227"/>
    <w:rsid w:val="00210A2E"/>
    <w:rsid w:val="00216A72"/>
    <w:rsid w:val="00221DFB"/>
    <w:rsid w:val="00242A35"/>
    <w:rsid w:val="002630DC"/>
    <w:rsid w:val="0026478A"/>
    <w:rsid w:val="002811E2"/>
    <w:rsid w:val="002A1D97"/>
    <w:rsid w:val="002C2EC1"/>
    <w:rsid w:val="003053D9"/>
    <w:rsid w:val="0034201E"/>
    <w:rsid w:val="0035297B"/>
    <w:rsid w:val="0036691B"/>
    <w:rsid w:val="00395E63"/>
    <w:rsid w:val="003A191A"/>
    <w:rsid w:val="003B685F"/>
    <w:rsid w:val="003C01FF"/>
    <w:rsid w:val="003C3F71"/>
    <w:rsid w:val="003E042C"/>
    <w:rsid w:val="003E31DC"/>
    <w:rsid w:val="003F7258"/>
    <w:rsid w:val="00404B79"/>
    <w:rsid w:val="004321F6"/>
    <w:rsid w:val="00462F98"/>
    <w:rsid w:val="00464E95"/>
    <w:rsid w:val="00487130"/>
    <w:rsid w:val="004A4F46"/>
    <w:rsid w:val="004D217E"/>
    <w:rsid w:val="004D4EB2"/>
    <w:rsid w:val="005232E8"/>
    <w:rsid w:val="00527F3C"/>
    <w:rsid w:val="005378AD"/>
    <w:rsid w:val="00551848"/>
    <w:rsid w:val="005633C5"/>
    <w:rsid w:val="00576E61"/>
    <w:rsid w:val="00577B0E"/>
    <w:rsid w:val="005900C5"/>
    <w:rsid w:val="005A26D1"/>
    <w:rsid w:val="005A37AA"/>
    <w:rsid w:val="005B3493"/>
    <w:rsid w:val="005D0DF4"/>
    <w:rsid w:val="00621857"/>
    <w:rsid w:val="006361FB"/>
    <w:rsid w:val="00687357"/>
    <w:rsid w:val="006A68A7"/>
    <w:rsid w:val="00714DB1"/>
    <w:rsid w:val="00733659"/>
    <w:rsid w:val="00747BA5"/>
    <w:rsid w:val="00771D85"/>
    <w:rsid w:val="00797C47"/>
    <w:rsid w:val="007F21BD"/>
    <w:rsid w:val="00800773"/>
    <w:rsid w:val="0081144B"/>
    <w:rsid w:val="0082749F"/>
    <w:rsid w:val="0083462F"/>
    <w:rsid w:val="008511BB"/>
    <w:rsid w:val="00860293"/>
    <w:rsid w:val="0086151B"/>
    <w:rsid w:val="00867F3C"/>
    <w:rsid w:val="00872AD5"/>
    <w:rsid w:val="008730EF"/>
    <w:rsid w:val="00876DA1"/>
    <w:rsid w:val="008A3227"/>
    <w:rsid w:val="008A7DD9"/>
    <w:rsid w:val="008B149C"/>
    <w:rsid w:val="008C377F"/>
    <w:rsid w:val="008D0C34"/>
    <w:rsid w:val="008F449F"/>
    <w:rsid w:val="00905430"/>
    <w:rsid w:val="00910E63"/>
    <w:rsid w:val="00915A58"/>
    <w:rsid w:val="00922837"/>
    <w:rsid w:val="0093030E"/>
    <w:rsid w:val="00931248"/>
    <w:rsid w:val="00946590"/>
    <w:rsid w:val="00955B95"/>
    <w:rsid w:val="00983FEC"/>
    <w:rsid w:val="009D4A63"/>
    <w:rsid w:val="009E3D27"/>
    <w:rsid w:val="009E5FD9"/>
    <w:rsid w:val="00A06896"/>
    <w:rsid w:val="00A32F47"/>
    <w:rsid w:val="00A41838"/>
    <w:rsid w:val="00A83490"/>
    <w:rsid w:val="00A93CB5"/>
    <w:rsid w:val="00AD76A3"/>
    <w:rsid w:val="00B14C14"/>
    <w:rsid w:val="00B22BCA"/>
    <w:rsid w:val="00B22D9B"/>
    <w:rsid w:val="00B33A79"/>
    <w:rsid w:val="00B65418"/>
    <w:rsid w:val="00B77DD7"/>
    <w:rsid w:val="00C05B8F"/>
    <w:rsid w:val="00C41537"/>
    <w:rsid w:val="00C46757"/>
    <w:rsid w:val="00C5399D"/>
    <w:rsid w:val="00CF5405"/>
    <w:rsid w:val="00D00A65"/>
    <w:rsid w:val="00D00F88"/>
    <w:rsid w:val="00D401A8"/>
    <w:rsid w:val="00D5588A"/>
    <w:rsid w:val="00D571B2"/>
    <w:rsid w:val="00D621A4"/>
    <w:rsid w:val="00D71D51"/>
    <w:rsid w:val="00DB11BA"/>
    <w:rsid w:val="00DF5E98"/>
    <w:rsid w:val="00DF6A69"/>
    <w:rsid w:val="00E16343"/>
    <w:rsid w:val="00E46AC9"/>
    <w:rsid w:val="00E5281B"/>
    <w:rsid w:val="00E57F1F"/>
    <w:rsid w:val="00E61022"/>
    <w:rsid w:val="00E65A6B"/>
    <w:rsid w:val="00E701AB"/>
    <w:rsid w:val="00E76A85"/>
    <w:rsid w:val="00E82C07"/>
    <w:rsid w:val="00EA5D7A"/>
    <w:rsid w:val="00EF301C"/>
    <w:rsid w:val="00F47799"/>
    <w:rsid w:val="00F66D3C"/>
    <w:rsid w:val="00FA23C6"/>
    <w:rsid w:val="00FB5588"/>
    <w:rsid w:val="00FB731D"/>
    <w:rsid w:val="00FC2CC0"/>
    <w:rsid w:val="00FD0023"/>
    <w:rsid w:val="00FD4E6A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3569"/>
  <w15:docId w15:val="{E6C237D2-7E8F-4C13-B39A-A75395D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71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27"/>
  </w:style>
  <w:style w:type="paragraph" w:styleId="Footer">
    <w:name w:val="footer"/>
    <w:basedOn w:val="Normal"/>
    <w:link w:val="FooterChar"/>
    <w:uiPriority w:val="99"/>
    <w:unhideWhenUsed/>
    <w:rsid w:val="009E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202C-9FEF-4BA7-B3AA-F7187A1C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Dragovic</dc:creator>
  <cp:keywords/>
  <dc:description/>
  <cp:lastModifiedBy>Pavle Radonjic</cp:lastModifiedBy>
  <cp:revision>3</cp:revision>
  <cp:lastPrinted>2022-10-04T06:10:00Z</cp:lastPrinted>
  <dcterms:created xsi:type="dcterms:W3CDTF">2022-10-06T08:50:00Z</dcterms:created>
  <dcterms:modified xsi:type="dcterms:W3CDTF">2022-10-12T10:22:00Z</dcterms:modified>
</cp:coreProperties>
</file>